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30" w:line="364" w:lineRule="auto"/>
        <w:ind w:left="902" w:right="676" w:hanging="322"/>
        <w:jc w:val="center"/>
        <w:rPr>
          <w:rFonts w:hint="eastAsia"/>
          <w:w w:val="95"/>
          <w:lang w:eastAsia="zh-CN"/>
        </w:rPr>
      </w:pPr>
      <w:r>
        <w:rPr>
          <w:rFonts w:hint="eastAsia"/>
          <w:w w:val="95"/>
          <w:lang w:eastAsia="zh-CN"/>
        </w:rPr>
        <w:t>北流市县域医共体资源共享中心及中心药房建设项目</w:t>
      </w:r>
    </w:p>
    <w:p>
      <w:pPr>
        <w:pStyle w:val="2"/>
        <w:spacing w:before="30" w:line="364" w:lineRule="auto"/>
        <w:ind w:left="902" w:right="676" w:hanging="322"/>
        <w:jc w:val="center"/>
      </w:pPr>
      <w:r>
        <w:rPr>
          <w:rFonts w:hint="eastAsia"/>
          <w:w w:val="95"/>
          <w:lang w:eastAsia="zh-CN"/>
        </w:rPr>
        <w:t>基于医共体平台的智慧药事服务中心系统建设</w:t>
      </w:r>
      <w:r>
        <w:t>设计</w:t>
      </w:r>
      <w:r>
        <w:rPr>
          <w:rFonts w:hint="eastAsia"/>
          <w:lang w:eastAsia="zh-CN"/>
        </w:rPr>
        <w:t>方案评估</w:t>
      </w:r>
      <w:r>
        <w:t>服务需求</w:t>
      </w:r>
    </w:p>
    <w:p>
      <w:pPr>
        <w:spacing w:before="1"/>
        <w:ind w:left="120" w:right="0" w:firstLine="0"/>
        <w:jc w:val="left"/>
        <w:rPr>
          <w:rFonts w:hint="eastAsia" w:eastAsia="仿宋_GB2312"/>
          <w:b/>
          <w:sz w:val="32"/>
          <w:lang w:eastAsia="zh-CN"/>
        </w:rPr>
      </w:pPr>
      <w:r>
        <w:rPr>
          <w:b/>
          <w:sz w:val="32"/>
        </w:rPr>
        <w:t>一、</w:t>
      </w:r>
      <w:r>
        <w:rPr>
          <w:rFonts w:hint="eastAsia"/>
          <w:b/>
          <w:sz w:val="32"/>
          <w:lang w:eastAsia="zh-CN"/>
        </w:rPr>
        <w:t>项目背景与目标</w:t>
      </w:r>
    </w:p>
    <w:p>
      <w:pPr>
        <w:pStyle w:val="3"/>
        <w:keepNext w:val="0"/>
        <w:keepLines w:val="0"/>
        <w:pageBreakBefore w:val="0"/>
        <w:widowControl w:val="0"/>
        <w:kinsoku/>
        <w:wordWrap/>
        <w:overflowPunct/>
        <w:topLinePunct w:val="0"/>
        <w:autoSpaceDE w:val="0"/>
        <w:autoSpaceDN w:val="0"/>
        <w:bidi w:val="0"/>
        <w:adjustRightInd w:val="0"/>
        <w:snapToGrid/>
        <w:spacing w:before="0" w:line="440" w:lineRule="exact"/>
        <w:ind w:left="0" w:right="0" w:firstLine="567"/>
        <w:jc w:val="both"/>
        <w:textAlignment w:val="auto"/>
        <w:rPr>
          <w:rFonts w:hint="eastAsia"/>
          <w:lang w:eastAsia="zh-CN"/>
        </w:rPr>
      </w:pPr>
      <w:r>
        <w:rPr>
          <w:rFonts w:hint="eastAsia"/>
        </w:rPr>
        <w:t>为科学推进北流市县域医共体资源共享中心及中心药房建设项目基于医共体平台的智慧药事服务中心系统建设</w:t>
      </w:r>
      <w:r>
        <w:rPr>
          <w:rFonts w:hint="eastAsia"/>
          <w:lang w:eastAsia="zh-CN"/>
        </w:rPr>
        <w:t>，确保建设设计方案符合实际业务需求并具备可实施性，现计划引入第三方专业评审机构，对项目建设设计方案及投资概算等开展客观、公正的专业评审。</w:t>
      </w:r>
    </w:p>
    <w:p>
      <w:pPr>
        <w:pStyle w:val="2"/>
        <w:spacing w:before="101"/>
      </w:pPr>
      <w:r>
        <w:t>二、</w:t>
      </w:r>
      <w:r>
        <w:rPr>
          <w:rFonts w:hint="eastAsia"/>
        </w:rPr>
        <w:t>服务内容与交付要求</w:t>
      </w:r>
    </w:p>
    <w:p>
      <w:pPr>
        <w:pStyle w:val="3"/>
        <w:keepNext w:val="0"/>
        <w:keepLines w:val="0"/>
        <w:pageBreakBefore w:val="0"/>
        <w:widowControl w:val="0"/>
        <w:kinsoku/>
        <w:wordWrap/>
        <w:overflowPunct/>
        <w:topLinePunct w:val="0"/>
        <w:autoSpaceDE w:val="0"/>
        <w:autoSpaceDN w:val="0"/>
        <w:bidi w:val="0"/>
        <w:adjustRightInd w:val="0"/>
        <w:snapToGrid/>
        <w:spacing w:before="0" w:line="440" w:lineRule="exact"/>
        <w:ind w:left="0" w:right="0" w:firstLine="567"/>
        <w:jc w:val="both"/>
        <w:textAlignment w:val="auto"/>
        <w:rPr>
          <w:rFonts w:hint="eastAsia"/>
        </w:rPr>
      </w:pPr>
      <w:r>
        <w:rPr>
          <w:rFonts w:hint="eastAsia"/>
        </w:rPr>
        <w:t>（一）核心服务内容</w:t>
      </w:r>
    </w:p>
    <w:p>
      <w:pPr>
        <w:pStyle w:val="3"/>
        <w:keepNext w:val="0"/>
        <w:keepLines w:val="0"/>
        <w:pageBreakBefore w:val="0"/>
        <w:widowControl w:val="0"/>
        <w:kinsoku/>
        <w:wordWrap/>
        <w:overflowPunct/>
        <w:topLinePunct w:val="0"/>
        <w:autoSpaceDE w:val="0"/>
        <w:autoSpaceDN w:val="0"/>
        <w:bidi w:val="0"/>
        <w:adjustRightInd w:val="0"/>
        <w:snapToGrid/>
        <w:spacing w:before="0" w:line="440" w:lineRule="exact"/>
        <w:ind w:left="0" w:right="0" w:firstLine="567"/>
        <w:jc w:val="both"/>
        <w:textAlignment w:val="auto"/>
        <w:rPr>
          <w:rFonts w:hint="eastAsia"/>
        </w:rPr>
      </w:pPr>
      <w:r>
        <w:rPr>
          <w:rFonts w:hint="eastAsia"/>
        </w:rPr>
        <w:t>1. 材料预审：负责对提供的《项目</w:t>
      </w:r>
      <w:r>
        <w:rPr>
          <w:rFonts w:hint="eastAsia"/>
          <w:w w:val="95"/>
          <w:lang w:eastAsia="zh-CN"/>
        </w:rPr>
        <w:t>建设</w:t>
      </w:r>
      <w:r>
        <w:t>设计</w:t>
      </w:r>
      <w:r>
        <w:rPr>
          <w:rFonts w:hint="eastAsia"/>
          <w:lang w:eastAsia="zh-CN"/>
        </w:rPr>
        <w:t>方案</w:t>
      </w:r>
      <w:r>
        <w:rPr>
          <w:rFonts w:hint="eastAsia"/>
        </w:rPr>
        <w:t>》、《投资概算》等材料进行预审，确保其达到可召开专家评审会的条件。</w:t>
      </w:r>
    </w:p>
    <w:p>
      <w:pPr>
        <w:pStyle w:val="3"/>
        <w:keepNext w:val="0"/>
        <w:keepLines w:val="0"/>
        <w:pageBreakBefore w:val="0"/>
        <w:widowControl w:val="0"/>
        <w:kinsoku/>
        <w:wordWrap/>
        <w:overflowPunct/>
        <w:topLinePunct w:val="0"/>
        <w:autoSpaceDE w:val="0"/>
        <w:autoSpaceDN w:val="0"/>
        <w:bidi w:val="0"/>
        <w:adjustRightInd w:val="0"/>
        <w:snapToGrid/>
        <w:spacing w:before="0" w:line="440" w:lineRule="exact"/>
        <w:ind w:left="0" w:right="0" w:firstLine="567"/>
        <w:jc w:val="both"/>
        <w:textAlignment w:val="auto"/>
        <w:rPr>
          <w:rFonts w:hint="eastAsia"/>
        </w:rPr>
      </w:pPr>
      <w:r>
        <w:rPr>
          <w:rFonts w:hint="eastAsia"/>
        </w:rPr>
        <w:t>2. 组织评审：全权负责组织召开项目专家评审会，包括但不限于专家遴选、会议组织、现场记录等。</w:t>
      </w:r>
    </w:p>
    <w:p>
      <w:pPr>
        <w:pStyle w:val="3"/>
        <w:keepNext w:val="0"/>
        <w:keepLines w:val="0"/>
        <w:pageBreakBefore w:val="0"/>
        <w:widowControl w:val="0"/>
        <w:kinsoku/>
        <w:wordWrap/>
        <w:overflowPunct/>
        <w:topLinePunct w:val="0"/>
        <w:autoSpaceDE w:val="0"/>
        <w:autoSpaceDN w:val="0"/>
        <w:bidi w:val="0"/>
        <w:adjustRightInd w:val="0"/>
        <w:snapToGrid/>
        <w:spacing w:before="0" w:line="440" w:lineRule="exact"/>
        <w:ind w:left="0" w:right="0" w:firstLine="567"/>
        <w:jc w:val="both"/>
        <w:textAlignment w:val="auto"/>
        <w:rPr>
          <w:rFonts w:hint="eastAsia"/>
        </w:rPr>
      </w:pPr>
      <w:r>
        <w:rPr>
          <w:rFonts w:hint="eastAsia"/>
        </w:rPr>
        <w:t>3. 监督修改：监督并评估方案编制单位根据专家组评审意见对《项目</w:t>
      </w:r>
      <w:r>
        <w:rPr>
          <w:rFonts w:hint="eastAsia"/>
          <w:w w:val="95"/>
          <w:lang w:eastAsia="zh-CN"/>
        </w:rPr>
        <w:t>建设</w:t>
      </w:r>
      <w:r>
        <w:t>设计</w:t>
      </w:r>
      <w:r>
        <w:rPr>
          <w:rFonts w:hint="eastAsia"/>
          <w:lang w:eastAsia="zh-CN"/>
        </w:rPr>
        <w:t>方案</w:t>
      </w:r>
      <w:r>
        <w:rPr>
          <w:rFonts w:hint="eastAsia"/>
        </w:rPr>
        <w:t>》、《投资概算》等材料的修改过程与质量。</w:t>
      </w:r>
    </w:p>
    <w:p>
      <w:pPr>
        <w:pStyle w:val="3"/>
        <w:keepNext w:val="0"/>
        <w:keepLines w:val="0"/>
        <w:pageBreakBefore w:val="0"/>
        <w:widowControl w:val="0"/>
        <w:kinsoku/>
        <w:wordWrap/>
        <w:overflowPunct/>
        <w:topLinePunct w:val="0"/>
        <w:autoSpaceDE w:val="0"/>
        <w:autoSpaceDN w:val="0"/>
        <w:bidi w:val="0"/>
        <w:adjustRightInd w:val="0"/>
        <w:snapToGrid/>
        <w:spacing w:before="0" w:line="440" w:lineRule="exact"/>
        <w:ind w:left="0" w:right="0" w:firstLine="567"/>
        <w:jc w:val="both"/>
        <w:textAlignment w:val="auto"/>
        <w:rPr>
          <w:rFonts w:hint="eastAsia"/>
        </w:rPr>
      </w:pPr>
      <w:r>
        <w:rPr>
          <w:rFonts w:hint="eastAsia"/>
        </w:rPr>
        <w:t>4. 出具报告：根据最终修改成果，出具符合项目审批部门要求的《项目</w:t>
      </w:r>
      <w:r>
        <w:rPr>
          <w:rFonts w:hint="eastAsia"/>
          <w:w w:val="95"/>
          <w:lang w:eastAsia="zh-CN"/>
        </w:rPr>
        <w:t>建设</w:t>
      </w:r>
      <w:r>
        <w:t>设计</w:t>
      </w:r>
      <w:r>
        <w:rPr>
          <w:rFonts w:hint="eastAsia"/>
          <w:lang w:eastAsia="zh-CN"/>
        </w:rPr>
        <w:t>方案</w:t>
      </w:r>
      <w:r>
        <w:rPr>
          <w:rFonts w:hint="eastAsia"/>
        </w:rPr>
        <w:t>评审报告》。</w:t>
      </w:r>
    </w:p>
    <w:p>
      <w:pPr>
        <w:pStyle w:val="3"/>
        <w:keepNext w:val="0"/>
        <w:keepLines w:val="0"/>
        <w:pageBreakBefore w:val="0"/>
        <w:widowControl w:val="0"/>
        <w:kinsoku/>
        <w:wordWrap/>
        <w:overflowPunct/>
        <w:topLinePunct w:val="0"/>
        <w:autoSpaceDE w:val="0"/>
        <w:autoSpaceDN w:val="0"/>
        <w:bidi w:val="0"/>
        <w:adjustRightInd w:val="0"/>
        <w:snapToGrid/>
        <w:spacing w:before="0" w:line="440" w:lineRule="exact"/>
        <w:ind w:left="0" w:right="0" w:firstLine="567"/>
        <w:jc w:val="both"/>
        <w:textAlignment w:val="auto"/>
        <w:rPr>
          <w:rFonts w:hint="eastAsia"/>
        </w:rPr>
      </w:pPr>
      <w:r>
        <w:rPr>
          <w:rFonts w:hint="eastAsia"/>
          <w:lang w:eastAsia="zh-CN"/>
        </w:rPr>
        <w:t>（</w:t>
      </w:r>
      <w:r>
        <w:rPr>
          <w:rFonts w:hint="eastAsia"/>
        </w:rPr>
        <w:t>二）详细服务要求</w:t>
      </w:r>
    </w:p>
    <w:p>
      <w:pPr>
        <w:pStyle w:val="3"/>
        <w:keepNext w:val="0"/>
        <w:keepLines w:val="0"/>
        <w:pageBreakBefore w:val="0"/>
        <w:widowControl w:val="0"/>
        <w:kinsoku/>
        <w:wordWrap/>
        <w:overflowPunct/>
        <w:topLinePunct w:val="0"/>
        <w:autoSpaceDE w:val="0"/>
        <w:autoSpaceDN w:val="0"/>
        <w:bidi w:val="0"/>
        <w:adjustRightInd w:val="0"/>
        <w:snapToGrid/>
        <w:spacing w:before="0" w:line="440" w:lineRule="exact"/>
        <w:ind w:left="0" w:right="0" w:firstLine="567"/>
        <w:jc w:val="both"/>
        <w:textAlignment w:val="auto"/>
        <w:rPr>
          <w:rFonts w:hint="eastAsia"/>
        </w:rPr>
      </w:pPr>
      <w:r>
        <w:rPr>
          <w:rFonts w:hint="eastAsia"/>
        </w:rPr>
        <w:t>1. 报告要求：须提交符合审批要求的《项目</w:t>
      </w:r>
      <w:r>
        <w:rPr>
          <w:rFonts w:hint="eastAsia"/>
          <w:w w:val="95"/>
          <w:lang w:eastAsia="zh-CN"/>
        </w:rPr>
        <w:t>建设</w:t>
      </w:r>
      <w:r>
        <w:t>设计</w:t>
      </w:r>
      <w:r>
        <w:rPr>
          <w:rFonts w:hint="eastAsia"/>
          <w:lang w:eastAsia="zh-CN"/>
        </w:rPr>
        <w:t>方案</w:t>
      </w:r>
      <w:r>
        <w:rPr>
          <w:rFonts w:hint="eastAsia"/>
        </w:rPr>
        <w:t>评审报告》纸质版4份及电子版1份。报告须包含：评审报告正文</w:t>
      </w:r>
      <w:r>
        <w:rPr>
          <w:rFonts w:hint="eastAsia"/>
          <w:lang w:eastAsia="zh-CN"/>
        </w:rPr>
        <w:t>、</w:t>
      </w:r>
      <w:r>
        <w:rPr>
          <w:rFonts w:hint="eastAsia"/>
        </w:rPr>
        <w:t>附件：专家组评审意见、评审会会议纪要、评审会议记录、编制单位提供的《根据专家意见的修改说明》。</w:t>
      </w:r>
    </w:p>
    <w:p>
      <w:pPr>
        <w:pStyle w:val="3"/>
        <w:keepNext w:val="0"/>
        <w:keepLines w:val="0"/>
        <w:pageBreakBefore w:val="0"/>
        <w:widowControl w:val="0"/>
        <w:kinsoku/>
        <w:wordWrap/>
        <w:overflowPunct/>
        <w:topLinePunct w:val="0"/>
        <w:autoSpaceDE w:val="0"/>
        <w:autoSpaceDN w:val="0"/>
        <w:bidi w:val="0"/>
        <w:adjustRightInd w:val="0"/>
        <w:snapToGrid/>
        <w:spacing w:before="0" w:line="440" w:lineRule="exact"/>
        <w:ind w:left="0" w:right="0" w:firstLine="567"/>
        <w:jc w:val="both"/>
        <w:textAlignment w:val="auto"/>
        <w:rPr>
          <w:rFonts w:hint="eastAsia"/>
        </w:rPr>
      </w:pPr>
      <w:r>
        <w:rPr>
          <w:rFonts w:hint="eastAsia"/>
          <w:lang w:val="en-US" w:eastAsia="zh-CN"/>
        </w:rPr>
        <w:t>2.</w:t>
      </w:r>
      <w:r>
        <w:rPr>
          <w:rFonts w:hint="eastAsia"/>
        </w:rPr>
        <w:t>交付时限：在项目</w:t>
      </w:r>
      <w:r>
        <w:rPr>
          <w:rFonts w:hint="eastAsia"/>
          <w:lang w:eastAsia="zh-CN"/>
        </w:rPr>
        <w:t>建设设计方案</w:t>
      </w:r>
      <w:r>
        <w:rPr>
          <w:rFonts w:hint="eastAsia"/>
        </w:rPr>
        <w:t xml:space="preserve">编制单位根据专家意见修改并评审通过后 </w:t>
      </w:r>
      <w:r>
        <w:rPr>
          <w:rFonts w:hint="eastAsia"/>
          <w:lang w:val="en-US" w:eastAsia="zh-CN"/>
        </w:rPr>
        <w:t>5</w:t>
      </w:r>
      <w:r>
        <w:rPr>
          <w:rFonts w:hint="eastAsia"/>
        </w:rPr>
        <w:t>个工作日内，交付最终《项目</w:t>
      </w:r>
      <w:r>
        <w:rPr>
          <w:rFonts w:hint="eastAsia"/>
          <w:w w:val="95"/>
          <w:lang w:eastAsia="zh-CN"/>
        </w:rPr>
        <w:t>建设</w:t>
      </w:r>
      <w:r>
        <w:t>设计</w:t>
      </w:r>
      <w:r>
        <w:rPr>
          <w:rFonts w:hint="eastAsia"/>
          <w:lang w:eastAsia="zh-CN"/>
        </w:rPr>
        <w:t>方案</w:t>
      </w:r>
      <w:r>
        <w:rPr>
          <w:rFonts w:hint="eastAsia"/>
        </w:rPr>
        <w:t>评审报告》。</w:t>
      </w:r>
    </w:p>
    <w:p>
      <w:pPr>
        <w:pStyle w:val="3"/>
        <w:keepNext w:val="0"/>
        <w:keepLines w:val="0"/>
        <w:pageBreakBefore w:val="0"/>
        <w:widowControl w:val="0"/>
        <w:kinsoku/>
        <w:wordWrap/>
        <w:overflowPunct/>
        <w:topLinePunct w:val="0"/>
        <w:autoSpaceDE w:val="0"/>
        <w:autoSpaceDN w:val="0"/>
        <w:bidi w:val="0"/>
        <w:adjustRightInd w:val="0"/>
        <w:snapToGrid/>
        <w:spacing w:before="0" w:line="440" w:lineRule="exact"/>
        <w:ind w:left="0" w:right="0" w:firstLine="567"/>
        <w:jc w:val="both"/>
        <w:textAlignment w:val="auto"/>
        <w:rPr>
          <w:rFonts w:hint="eastAsia"/>
        </w:rPr>
      </w:pPr>
      <w:r>
        <w:rPr>
          <w:rFonts w:hint="eastAsia"/>
          <w:lang w:val="en-US" w:eastAsia="zh-CN"/>
        </w:rPr>
        <w:t>3.</w:t>
      </w:r>
      <w:r>
        <w:rPr>
          <w:rFonts w:hint="eastAsia"/>
        </w:rPr>
        <w:t>知识产权与保密：成交供应商须保护本项目所涉全部资料的知识产权，不得向任何第三方泄露、转让</w:t>
      </w:r>
      <w:r>
        <w:rPr>
          <w:rFonts w:hint="eastAsia"/>
          <w:lang w:eastAsia="zh-CN"/>
        </w:rPr>
        <w:t>。</w:t>
      </w:r>
      <w:r>
        <w:rPr>
          <w:rFonts w:hint="eastAsia"/>
        </w:rPr>
        <w:t>因供应商原因导致资料泄露并造成经济损失的，采购人有权索赔。</w:t>
      </w:r>
    </w:p>
    <w:p>
      <w:pPr>
        <w:pStyle w:val="3"/>
        <w:keepNext w:val="0"/>
        <w:keepLines w:val="0"/>
        <w:pageBreakBefore w:val="0"/>
        <w:widowControl w:val="0"/>
        <w:kinsoku/>
        <w:wordWrap/>
        <w:overflowPunct/>
        <w:topLinePunct w:val="0"/>
        <w:autoSpaceDE w:val="0"/>
        <w:autoSpaceDN w:val="0"/>
        <w:bidi w:val="0"/>
        <w:adjustRightInd w:val="0"/>
        <w:snapToGrid/>
        <w:spacing w:before="0" w:line="440" w:lineRule="exact"/>
        <w:ind w:left="0" w:right="0" w:firstLine="567"/>
        <w:jc w:val="both"/>
        <w:textAlignment w:val="auto"/>
        <w:rPr>
          <w:rFonts w:hint="eastAsia"/>
        </w:rPr>
      </w:pPr>
      <w:r>
        <w:rPr>
          <w:rFonts w:hint="eastAsia"/>
        </w:rPr>
        <w:t>费用包干：本项目成交供应商负责承担与服务相关的所有费用，包括但不限于：专家差旅费、食宿费、咨询费、会议场地费、材料印刷费等。</w:t>
      </w:r>
    </w:p>
    <w:p>
      <w:pPr>
        <w:pStyle w:val="3"/>
        <w:keepNext w:val="0"/>
        <w:keepLines w:val="0"/>
        <w:pageBreakBefore w:val="0"/>
        <w:widowControl w:val="0"/>
        <w:kinsoku/>
        <w:wordWrap/>
        <w:overflowPunct/>
        <w:topLinePunct w:val="0"/>
        <w:autoSpaceDE w:val="0"/>
        <w:autoSpaceDN w:val="0"/>
        <w:bidi w:val="0"/>
        <w:adjustRightInd w:val="0"/>
        <w:snapToGrid/>
        <w:spacing w:before="0" w:line="440" w:lineRule="exact"/>
        <w:ind w:left="0" w:right="0" w:firstLine="567"/>
        <w:jc w:val="both"/>
        <w:textAlignment w:val="auto"/>
        <w:rPr>
          <w:rFonts w:hint="eastAsia"/>
        </w:rPr>
      </w:pPr>
      <w:r>
        <w:rPr>
          <w:rFonts w:hint="eastAsia"/>
        </w:rPr>
        <w:t>5. 标准与规范：服务过程须遵循现行最新版本的国家标准与行业标准。若标准冲突，除非采购人明确指定，否则按更严格的标准执行。</w:t>
      </w:r>
    </w:p>
    <w:p>
      <w:pPr>
        <w:pStyle w:val="3"/>
        <w:spacing w:line="417" w:lineRule="auto"/>
        <w:ind w:left="0" w:leftChars="0" w:right="481" w:firstLine="0" w:firstLineChars="0"/>
        <w:jc w:val="both"/>
        <w:rPr>
          <w:rFonts w:hint="eastAsia" w:ascii="仿宋_GB2312" w:hAnsi="仿宋_GB2312" w:eastAsia="仿宋_GB2312" w:cs="仿宋_GB2312"/>
          <w:b/>
          <w:bCs/>
          <w:sz w:val="32"/>
          <w:szCs w:val="32"/>
          <w:lang w:val="en-US" w:eastAsia="en-US" w:bidi="ar-SA"/>
        </w:rPr>
      </w:pPr>
      <w:r>
        <w:rPr>
          <w:rFonts w:hint="eastAsia" w:ascii="仿宋_GB2312" w:hAnsi="仿宋_GB2312" w:eastAsia="仿宋_GB2312" w:cs="仿宋_GB2312"/>
          <w:b/>
          <w:bCs/>
          <w:sz w:val="32"/>
          <w:szCs w:val="32"/>
          <w:lang w:val="en-US" w:eastAsia="en-US" w:bidi="ar-SA"/>
        </w:rPr>
        <w:t>三</w:t>
      </w:r>
      <w:r>
        <w:rPr>
          <w:rFonts w:hint="eastAsia" w:cs="仿宋_GB2312"/>
          <w:b/>
          <w:bCs/>
          <w:sz w:val="32"/>
          <w:szCs w:val="32"/>
          <w:lang w:val="en-US" w:eastAsia="zh-CN" w:bidi="ar-SA"/>
        </w:rPr>
        <w:t>、</w:t>
      </w:r>
      <w:r>
        <w:rPr>
          <w:rFonts w:hint="eastAsia" w:ascii="仿宋_GB2312" w:hAnsi="仿宋_GB2312" w:eastAsia="仿宋_GB2312" w:cs="仿宋_GB2312"/>
          <w:b/>
          <w:bCs/>
          <w:sz w:val="32"/>
          <w:szCs w:val="32"/>
          <w:lang w:val="en-US" w:eastAsia="en-US" w:bidi="ar-SA"/>
        </w:rPr>
        <w:t>成果交付要求</w:t>
      </w:r>
    </w:p>
    <w:p>
      <w:pPr>
        <w:pStyle w:val="3"/>
        <w:spacing w:line="417" w:lineRule="auto"/>
        <w:ind w:left="0" w:leftChars="0" w:right="481" w:firstLine="560" w:firstLineChars="200"/>
        <w:jc w:val="both"/>
        <w:rPr>
          <w:rFonts w:hint="eastAsia"/>
        </w:rPr>
      </w:pPr>
      <w:r>
        <w:rPr>
          <w:rFonts w:hint="eastAsia"/>
        </w:rPr>
        <w:t>1. 交付物清单：《项目</w:t>
      </w:r>
      <w:r>
        <w:rPr>
          <w:rFonts w:hint="eastAsia"/>
          <w:w w:val="95"/>
          <w:lang w:eastAsia="zh-CN"/>
        </w:rPr>
        <w:t>建设</w:t>
      </w:r>
      <w:r>
        <w:t>设计</w:t>
      </w:r>
      <w:r>
        <w:rPr>
          <w:rFonts w:hint="eastAsia"/>
          <w:lang w:eastAsia="zh-CN"/>
        </w:rPr>
        <w:t>方案</w:t>
      </w:r>
      <w:r>
        <w:rPr>
          <w:rFonts w:hint="eastAsia"/>
        </w:rPr>
        <w:t>评审报告》（完整版，含全部指定附件）。</w:t>
      </w:r>
    </w:p>
    <w:p>
      <w:pPr>
        <w:pStyle w:val="3"/>
        <w:spacing w:line="417" w:lineRule="auto"/>
        <w:ind w:left="0" w:leftChars="0" w:right="481" w:firstLine="560" w:firstLineChars="200"/>
        <w:jc w:val="both"/>
        <w:rPr>
          <w:rFonts w:hint="eastAsia"/>
        </w:rPr>
      </w:pPr>
      <w:r>
        <w:rPr>
          <w:rFonts w:hint="eastAsia"/>
        </w:rPr>
        <w:t>2. 文件格式要求：格式统一、名称一致，符合规范化、标准化要求。文字、名词、图形符号、计量单位等均采用现行国家和行业标准。编印与装订应利于采购人归档及长期保存。</w:t>
      </w:r>
    </w:p>
    <w:p>
      <w:pPr>
        <w:pStyle w:val="3"/>
        <w:spacing w:line="417" w:lineRule="auto"/>
        <w:ind w:left="0" w:leftChars="0" w:right="481" w:firstLine="560" w:firstLineChars="200"/>
        <w:jc w:val="both"/>
        <w:rPr>
          <w:rFonts w:hint="eastAsia"/>
        </w:rPr>
      </w:pPr>
      <w:r>
        <w:rPr>
          <w:rFonts w:hint="eastAsia"/>
        </w:rPr>
        <w:t>3. 交付数量与产权：提交纸质版4份，电子文件1份。本项目所有成果的知识产权归采购人所有，未经采购人书面许可，成交供应商不得擅自使用。</w:t>
      </w:r>
    </w:p>
    <w:p>
      <w:pPr>
        <w:pStyle w:val="3"/>
        <w:spacing w:line="417" w:lineRule="auto"/>
        <w:ind w:left="0" w:leftChars="0" w:right="481" w:firstLine="0" w:firstLineChars="0"/>
        <w:jc w:val="both"/>
        <w:rPr>
          <w:rFonts w:hint="eastAsia" w:ascii="仿宋_GB2312" w:hAnsi="仿宋_GB2312" w:eastAsia="仿宋_GB2312" w:cs="仿宋_GB2312"/>
          <w:b/>
          <w:bCs/>
          <w:sz w:val="32"/>
          <w:szCs w:val="32"/>
          <w:lang w:val="en-US" w:eastAsia="en-US" w:bidi="ar-SA"/>
        </w:rPr>
      </w:pPr>
      <w:r>
        <w:rPr>
          <w:rFonts w:hint="eastAsia" w:ascii="仿宋_GB2312" w:hAnsi="仿宋_GB2312" w:eastAsia="仿宋_GB2312" w:cs="仿宋_GB2312"/>
          <w:b/>
          <w:bCs/>
          <w:sz w:val="32"/>
          <w:szCs w:val="32"/>
          <w:lang w:val="en-US" w:eastAsia="zh-CN" w:bidi="ar-SA"/>
        </w:rPr>
        <w:t>四、</w:t>
      </w:r>
      <w:r>
        <w:rPr>
          <w:rFonts w:hint="eastAsia" w:ascii="仿宋_GB2312" w:hAnsi="仿宋_GB2312" w:eastAsia="仿宋_GB2312" w:cs="仿宋_GB2312"/>
          <w:b/>
          <w:bCs/>
          <w:sz w:val="32"/>
          <w:szCs w:val="32"/>
          <w:lang w:val="en-US" w:eastAsia="en-US" w:bidi="ar-SA"/>
        </w:rPr>
        <w:t>供应商资质要求</w:t>
      </w:r>
    </w:p>
    <w:p>
      <w:pPr>
        <w:pStyle w:val="3"/>
        <w:spacing w:line="417" w:lineRule="auto"/>
        <w:ind w:left="0" w:leftChars="0" w:right="481" w:firstLine="560" w:firstLineChars="200"/>
        <w:jc w:val="both"/>
        <w:rPr>
          <w:rFonts w:hint="eastAsia"/>
          <w:lang w:eastAsia="zh-CN"/>
        </w:rPr>
      </w:pPr>
      <w:r>
        <w:rPr>
          <w:rFonts w:hint="eastAsia"/>
          <w:lang w:val="en-US" w:eastAsia="zh-CN"/>
        </w:rPr>
        <w:t>1.</w:t>
      </w:r>
      <w:r>
        <w:rPr>
          <w:rFonts w:hint="eastAsia"/>
        </w:rPr>
        <w:t>供应商须为依照国家规定在“全国投资项目在线审批监管平台”完成备案的工程咨询单位，并提供平台备案信息的查询截图等证明材料，其备案</w:t>
      </w:r>
      <w:r>
        <w:rPr>
          <w:rFonts w:hint="eastAsia"/>
          <w:lang w:eastAsia="zh-CN"/>
        </w:rPr>
        <w:t>。</w:t>
      </w:r>
      <w:r>
        <w:rPr>
          <w:rFonts w:hint="eastAsia"/>
        </w:rPr>
        <w:t>专业必须为“电子、信息工程（含通信、广电、信息化）”或同等相近专业，以确保其具备评审本信息化建设项目的专业资质与能力</w:t>
      </w:r>
      <w:r>
        <w:rPr>
          <w:rFonts w:hint="eastAsia"/>
          <w:lang w:eastAsia="zh-CN"/>
        </w:rPr>
        <w:t>。</w:t>
      </w:r>
      <w:bookmarkStart w:id="0" w:name="_GoBack"/>
      <w:bookmarkEnd w:id="0"/>
    </w:p>
    <w:p>
      <w:pPr>
        <w:pStyle w:val="3"/>
        <w:spacing w:line="417" w:lineRule="auto"/>
        <w:ind w:left="0" w:leftChars="0" w:right="481" w:firstLine="560" w:firstLineChars="200"/>
        <w:jc w:val="both"/>
        <w:rPr>
          <w:rFonts w:hint="eastAsia"/>
          <w:lang w:val="en-US" w:eastAsia="zh-CN"/>
        </w:rPr>
      </w:pPr>
    </w:p>
    <w:sectPr>
      <w:footerReference r:id="rId5" w:type="default"/>
      <w:pgSz w:w="11910" w:h="16840"/>
      <w:pgMar w:top="1520" w:right="1580" w:bottom="1180" w:left="1680" w:header="0" w:footer="98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ind w:left="0"/>
      <w:rPr>
        <w:sz w:val="20"/>
      </w:rPr>
    </w:pPr>
    <w:r>
      <w:pict>
        <v:shape id="_x0000_s4097" o:spid="_x0000_s4097" o:spt="202" type="#_x0000_t202" style="position:absolute;left:0pt;margin-left:290.15pt;margin-top:781.45pt;height:12pt;width:15.1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before="12"/>
                  <w:ind w:left="60" w:right="0" w:firstLine="0"/>
                  <w:jc w:val="left"/>
                  <w:rPr>
                    <w:rFonts w:ascii="Times New Roman"/>
                    <w:sz w:val="18"/>
                  </w:rPr>
                </w:pPr>
                <w:r>
                  <w:fldChar w:fldCharType="begin"/>
                </w:r>
                <w:r>
                  <w:rPr>
                    <w:rFonts w:ascii="Times New Roman"/>
                    <w:sz w:val="18"/>
                  </w:rPr>
                  <w:instrText xml:space="preserve"> PAGE </w:instrText>
                </w:r>
                <w:r>
                  <w:fldChar w:fldCharType="separate"/>
                </w:r>
                <w:r>
                  <w:t>10</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OWUyYzRmYTExYWI1YzkzNzE4MDhmOWU2Nzg0ZGRhMzkifQ=="/>
  </w:docVars>
  <w:rsids>
    <w:rsidRoot w:val="00000000"/>
    <w:rsid w:val="08FD6792"/>
    <w:rsid w:val="0AF0779D"/>
    <w:rsid w:val="0C706097"/>
    <w:rsid w:val="0E1C1BA7"/>
    <w:rsid w:val="24BB66D3"/>
    <w:rsid w:val="4E0B17FF"/>
    <w:rsid w:val="5C5B7DD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_GB2312" w:hAnsi="仿宋_GB2312" w:eastAsia="仿宋_GB2312" w:cs="仿宋_GB2312"/>
      <w:sz w:val="22"/>
      <w:szCs w:val="22"/>
      <w:lang w:val="en-US" w:eastAsia="en-US" w:bidi="ar-SA"/>
    </w:rPr>
  </w:style>
  <w:style w:type="paragraph" w:styleId="2">
    <w:name w:val="heading 1"/>
    <w:basedOn w:val="1"/>
    <w:next w:val="1"/>
    <w:qFormat/>
    <w:uiPriority w:val="1"/>
    <w:pPr>
      <w:ind w:left="120"/>
      <w:outlineLvl w:val="1"/>
    </w:pPr>
    <w:rPr>
      <w:rFonts w:ascii="仿宋_GB2312" w:hAnsi="仿宋_GB2312" w:eastAsia="仿宋_GB2312" w:cs="仿宋_GB2312"/>
      <w:b/>
      <w:bCs/>
      <w:sz w:val="32"/>
      <w:szCs w:val="32"/>
    </w:rPr>
  </w:style>
  <w:style w:type="character" w:default="1" w:styleId="6">
    <w:name w:val="Default Paragraph Font"/>
    <w:semiHidden/>
    <w:unhideWhenUsed/>
    <w:qFormat/>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240"/>
    </w:pPr>
    <w:rPr>
      <w:rFonts w:ascii="仿宋_GB2312" w:hAnsi="仿宋_GB2312" w:eastAsia="仿宋_GB2312" w:cs="仿宋_GB2312"/>
      <w:sz w:val="28"/>
      <w:szCs w:val="2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pPr>
      <w:spacing w:before="161"/>
      <w:ind w:left="240" w:right="503" w:firstLine="480"/>
      <w:jc w:val="both"/>
    </w:pPr>
    <w:rPr>
      <w:rFonts w:ascii="仿宋_GB2312" w:hAnsi="仿宋_GB2312" w:eastAsia="仿宋_GB2312" w:cs="仿宋_GB2312"/>
    </w:rPr>
  </w:style>
  <w:style w:type="paragraph" w:customStyle="1" w:styleId="9">
    <w:name w:val="Table Paragraph"/>
    <w:basedOn w:val="1"/>
    <w:qFormat/>
    <w:uiPriority w:val="1"/>
    <w:pPr>
      <w:spacing w:before="84"/>
      <w:ind w:left="137" w:right="118"/>
      <w:jc w:val="center"/>
    </w:pPr>
    <w:rPr>
      <w:rFonts w:ascii="仿宋" w:hAnsi="仿宋" w:eastAsia="仿宋" w:cs="仿宋"/>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931</Words>
  <Characters>942</Characters>
  <TotalTime>1</TotalTime>
  <ScaleCrop>false</ScaleCrop>
  <LinksUpToDate>false</LinksUpToDate>
  <CharactersWithSpaces>952</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2025-10-31T01:40:00Z</dcterms:created>
  <dc:creator>shaun。</dc:creator>
  <cp:lastModifiedBy>53525</cp:lastModifiedBy>
  <dcterms:modified xsi:type="dcterms:W3CDTF">2025-11-28T11:07:02Z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2025-10-24T00:00:00Z</vt:filetime>
  </property>
  <property fmtid="{D5CDD505-2E9C-101B-9397-08002B2CF9AE}" pid="3" name="Creator">
    <vt:lpwstr>WPS 文字</vt:lpwstr>
  </property>
  <property fmtid="{D5CDD505-2E9C-101B-9397-08002B2CF9AE}" pid="4" name="LastSaved">
    <vt:filetime>2025-10-31T00:00:00Z</vt:filetime>
  </property>
  <property fmtid="{D5CDD505-2E9C-101B-9397-08002B2CF9AE}" pid="5" name="KSOProductBuildVer">
    <vt:lpwstr>2052-11.1.0.12165</vt:lpwstr>
  </property>
  <property fmtid="{D5CDD505-2E9C-101B-9397-08002B2CF9AE}" pid="6" name="ICV">
    <vt:lpwstr>BD5ABE781B364695B7A4975CB69CD36B</vt:lpwstr>
  </property>
</Properties>
</file>