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0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212"/>
        <w:gridCol w:w="5984"/>
        <w:gridCol w:w="1347"/>
        <w:gridCol w:w="3778"/>
      </w:tblGrid>
      <w:tr w14:paraId="59E67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40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12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空调拆装及新机安装采购</w:t>
            </w:r>
          </w:p>
        </w:tc>
      </w:tr>
      <w:tr w14:paraId="09515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3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0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项目分类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22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具体项目/规格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7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6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数量</w:t>
            </w:r>
          </w:p>
        </w:tc>
      </w:tr>
      <w:tr w14:paraId="64863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8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B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旧机拆装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8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内机拆装共 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B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D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1CEE2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13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3F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新机采购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E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1.5匹变频冷暖KER-36W/G3-A一级能效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B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28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E8EB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81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15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新机采购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B4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2匹变频冷暖KER-50QW/F-1一级能效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8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26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6F161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2A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D0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0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5匹变频冷暖KED-120QW/G2-1S一级能效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B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7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2F8AD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AE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9D4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86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十匹一拖二天花机MDV-125Q4/BPN1-DP*2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42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9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60331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7F7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E8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新旧空调机所有铺装材料均应包含在费用明细内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F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安装辅料材料费用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66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5B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D6D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CB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所有报价总数含税金 预算控制价8.35万元</w:t>
            </w:r>
          </w:p>
        </w:tc>
      </w:tr>
    </w:tbl>
    <w:p w14:paraId="4CD54744"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07E9A"/>
    <w:rsid w:val="2E660799"/>
    <w:rsid w:val="3EE65260"/>
    <w:rsid w:val="52D6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211</Characters>
  <Lines>0</Lines>
  <Paragraphs>0</Paragraphs>
  <TotalTime>2</TotalTime>
  <ScaleCrop>false</ScaleCrop>
  <LinksUpToDate>false</LinksUpToDate>
  <CharactersWithSpaces>214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2026-01-23T01:36:00Z</dcterms:created>
  <dc:creator>Administrator</dc:creator>
  <cp:lastModifiedBy>广</cp:lastModifiedBy>
  <dcterms:modified xsi:type="dcterms:W3CDTF">2026-02-06T02:50:17Z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eyJoZGlkIjoiY2U5ZmY0N2ExZWQzYzlhNGNjMDA5NzI5YmJhMGEwOTEiLCJ1c2VySWQiOiIxMTIwODQyMDgxIn0=</vt:lpwstr>
  </property>
  <property fmtid="{D5CDD505-2E9C-101B-9397-08002B2CF9AE}" pid="4" name="ICV">
    <vt:lpwstr>178143225E4F4526B4311C5890BB2C54_13</vt:lpwstr>
  </property>
</Properties>
</file>