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510" w:lineRule="atLeast"/>
        <w:ind w:left="0" w:right="0" w:firstLine="0"/>
        <w:jc w:val="center"/>
        <w:rPr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6"/>
          <w:szCs w:val="36"/>
          <w:shd w:val="clear" w:fill="FFFFFF"/>
          <w:woUserID w:val="1"/>
        </w:rPr>
        <w:t>医院信息系统数据库维保服务需求分析报告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一、项目背景与目标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1.1 项目背景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随着医院信息化建设的不断深入，医院核心业务系统（如HIS、LIS、EMR等）的数据库作为信息系统的核心基础设施，承载着海量的医疗数据和关键业务逻辑。数据库的稳定性、性能和安全性直接关系到医疗服务的连续性和患者数据的安全。当前，医院数据库环境日益复杂，对专业维保服务的需求愈发迫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1.2 建设目标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通过采购专业的数据库维保服务，旨在实现以下目标：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业务连续性保障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：最大程度降低数据库故障对医院业务的影响，确保7×24小时不间断服务。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性能最优化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：持续优化数据库性能，提升业务系统响应速度，改善医护人员及患者体验。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数据安全性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：构建坚固的数据安全防线，防范数据泄露、篡改和丢失风险。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运维规范化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：引入先进的管理理念，提升医院信息科自身的技术水平和管理规范。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r>
        <w:rPr>
          <w:rFonts w:hint="eastAsia" w:ascii="宋体" w:hAnsi="宋体" w:eastAsia="宋体" w:cs="宋体"/>
          <w:kern w:val="2"/>
          <w:sz w:val="24"/>
          <w:szCs w:val="24"/>
          <w:woUserID w:val="1"/>
        </w:rPr>
        <w:pict>
          <v:rect id="_x0000_i103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二、维保服务范围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2.1 地理范围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医院主数据中心及灾备中心的所有数据库服务器。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2.2 技术范围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软件范围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：包括但不限于Oracle、SQL Server、MySQL等数据库管理系统软件。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数据范围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支撑全院业务运行的各类数据库，涵盖HIS（医院信息系统）、LIS（检验信息系统）、EMR（电子病历系统）、PACS（影像归档和通信系统）、PORTAL（医院门户/统一平台）、医技预约系统、心电信息系统、手麻系统、人事/护理管理系统、物流管理系统等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支持平台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：数据库运行的各类操作系统平台，如Linux、Windows Server等。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r>
        <w:rPr>
          <w:rFonts w:hint="eastAsia" w:ascii="宋体" w:hAnsi="宋体" w:eastAsia="宋体" w:cs="宋体"/>
          <w:kern w:val="2"/>
          <w:sz w:val="24"/>
          <w:szCs w:val="24"/>
          <w:woUserID w:val="1"/>
        </w:rPr>
        <w:pict>
          <v:rect id="_x0000_i103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三、详细服务需求分析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3.1 高可用性保障与故障响应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3.1.1 支持渠道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提供7×24小时不间断的电话、邮件、即时通讯工具（如微信群/钉钉群）等多渠道技术支持服务。需建立包含医院信息科负责人、骨干及服务商技术专家的专属服务群。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3.1.2 响应时效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建立严格的故障等级划分及响应机制：</w:t>
      </w: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1"/>
        <w:gridCol w:w="5162"/>
        <w:gridCol w:w="1359"/>
        <w:gridCol w:w="1582"/>
        <w:gridCol w:w="15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故障等级</w:t>
            </w:r>
          </w:p>
        </w:tc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故障描述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响应时间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现场到达时间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业务恢复时间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P1级</w:t>
            </w:r>
          </w:p>
        </w:tc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灾难性故障/系统瘫痪（如数据库宕机、核心业务完全不可用）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15分钟内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3小时内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到达后2小时内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P2级</w:t>
            </w:r>
          </w:p>
        </w:tc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严重性能问题/部分功能不可用（如核心模块响应极慢、大面积锁表）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30分钟内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4小时内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8小时内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P3级</w:t>
            </w:r>
          </w:p>
        </w:tc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一般性技术咨询/非紧急故障（如告警日志报错、非核心功能异常）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2小时内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与院方商定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与院方商定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3.1.3 故障回溯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每一次故障处理后，须在</w:t>
      </w: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3个工作日内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提交《故障分析报告》，详细说明故障根因、处理过程、改进措施，避免同类问题再次发生。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3.2 主动式性能优化与健康检查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3.2.1 定期巡检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每月进行一次全面的数据库健康巡检。巡检内容包括但不限于：空间使用率、性能负载（AWR/Statspack报告）、日志文件检查、连接数情况、备份有效性检查等。并在次月5日前提交《数据库月度健康巡检报告》。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3.2.2 深度性能调优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每季度（或按需，每年不少于4次）进行一次深度性能评估与调优，提交《数据库性能优化分析报告》。重点分析TOP SQL、锁等待、I/O瓶颈等，提出索引优化、SQL改写、参数调整等具体建议和实施方案。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3.2.3 节假日保障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在国家法定节假日前，进行一次全面的节前巡检，并在节假日期间提供重点保障支持。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3.2.4 数据库运维软件技术支撑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1、对已有的虚拟化集群进行日常运维管理；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2、对已有的运维监控管理软件进行日常运维管理；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3、对已有的CDP灾备软件RP4VMs提供技术支持，能跟原厂取得联系，出现故障时能及时处理故障，为数据库服务器做基于时间点的可回滚灾备保护；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3.3 运维体系建设与知识转移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3.3.1 规范优化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协助医院梳理和优化现有的数据库运维管理体系，共同制定或完善：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《数据库日常运维操作规范》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《数据库备份与恢复策略及演练方案》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《数据库容灾切换预案》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《数据库故障应急处理流程》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3.3.2 容灾演练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每年至少协助医院完成</w:t>
      </w: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一次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完整的数据库容灾切换演练或备份恢复演练，验证备份的有效性和灾备系统的可用性，并出具演练报告。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3.3.3 技术培训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每年为医院信息科技术人员提供不少于</w:t>
      </w: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2次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、总时长不少于</w:t>
      </w: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8课时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的现场技术培训。培训内容应涵盖数据库日常管理、常见故障诊断、性能分析方法、备份恢复实操等，并提供完整的培训教材。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3.4 安全管理与合规性支持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3.4.1 漏洞管理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持续跟踪数据库原厂的安全公告，每月定期向医院通报相关安全漏洞信息及潜在影响。对于高危漏洞，需在24小时内提出加固或升级建议，并提供实施方案。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3.4.2 安全加固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根据医院要求或等保测评结果，协助进行数据库的安全配置加固，如权限梳理、审计策略配置、数据传输加密等。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3.4.3 合规性支持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在医院进行应用系统上线评审、网络安全等保测评等关键节点，派遣资深工程师提供现场技术支持，确保数据库层面符合相关合规要求。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3.5 变更支持与版本升级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3.5.1 变更支持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医院进行应用系统升级、硬件扩容、机房迁移等涉及数据库的操作时，服务商应提供技术咨询和现场支持，评估变更风险，制定详细的变更方案和回退方案。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42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24"/>
          <w:szCs w:val="24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24"/>
          <w:szCs w:val="24"/>
          <w:shd w:val="clear" w:fill="FFFFFF"/>
          <w:woUserID w:val="1"/>
        </w:rPr>
        <w:t>3.5.2 版本升级/迁移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若医院未来有数据库版本升级或平台迁移的需求，服务商需提供可行性评估、详细的升级/迁移方案、实施操作以及升级后的7×24小时重点观察期。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  <w:pict>
          <v:rect id="_x0000_i103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四、服务交付要求与团队管理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4.1 项目团队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项目经理（1名）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：必须为投标单位正式员工，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需持有OCP或以上级别认证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，且具备5年以上医疗或大型企业核心数据库维保项目管理经验。项目经理负责总体协调、服务质量监督及定期汇报。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技术专家团队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：须承诺提供二线专家支持团队，团队成员应具备丰富的数据库故障诊断和性能调优经验。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4.2 服务报告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服务期内，除了故障报告、巡检报告外，还需每半年提交一次《数据库维保服务半年总结报告》，全面回顾服务执行情况、问题分析、资源统计及下阶段工作计划。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4.3 服务工具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highlight w:val="red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服务商应使用专业的数据库监控或诊断工具（需说明工具名称及功能）辅助进行远程监控和问题分析，提高服务效率。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4.4 服务期限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自签订合同之日起一年。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  <w:pict>
          <v:rect id="_x0000_i103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五、信息安全与保密要求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5.1 保密协议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所有参与维保服务的人员，在服务开始前必须与医院签订具有法律效力的《信息安全与保密协议》。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5.2 安全承诺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严禁服务人员未经授权查询、复制、修改、泄露或带离任何形式的医院数据（包括但不限于患者隐私数据、业务数据、系统配置信息）。严禁在未经授权的情况下在数据库中创建后门账户。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0"/>
          <w:szCs w:val="30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0"/>
          <w:szCs w:val="30"/>
          <w:shd w:val="clear" w:fill="FFFFFF"/>
          <w:woUserID w:val="1"/>
        </w:rPr>
        <w:t>5.3 行为审计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服务人员在医院现场或远程进行的所有数据库操作，均应遵循医院的信息安全管理制度，操作过程应具备可追溯性。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  <w:pict>
          <v:rect id="_x0000_i103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六、服务考核与处罚机制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为保障服务质量，建立基于服务级别协议（SLA）的考核机制。按月度或季度对服务商进行考核，考核结果与合同款项支付挂钩。</w:t>
      </w: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0"/>
        <w:gridCol w:w="5056"/>
        <w:gridCol w:w="4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考核指标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考核细则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违约处罚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响应时效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未在规定时间内响应或到达现场。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每次违约扣除合同总金额的 </w:t>
            </w: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0.1%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解决时效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未在SLA规定时间内恢复业务。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每次违约扣除合同总金额的 </w:t>
            </w: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0.2%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，并需提交书面整改报告。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服务报告质量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报告提交延迟、内容敷衍、数据明显错误。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每次/每份报告扣除 </w:t>
            </w: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500元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，并责令限期重写。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客户满意度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每季度对信息科相关人员进行满意度调查（1-5分），平均分低于4分。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每低0.5分，扣除合同总金额的 </w:t>
            </w: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0.1%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信息安全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发生数据泄露或违规操作事件，无论是否造成严重后果。</w:t>
            </w:r>
          </w:p>
        </w:tc>
        <w:tc>
          <w:tcPr>
            <w:tcW w:w="2073" w:type="pct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75" w:lineRule="atLeast"/>
              <w:ind w:left="0" w:right="0"/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bdr w:val="none" w:color="auto" w:sz="0" w:space="0"/>
                <w:woUserID w:val="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立即终止合同，追究法律责任，并扣除全部履约保证金/尾款。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720"/>
        <w:jc w:val="left"/>
        <w:rPr>
          <w:rFonts w:hint="eastAsia" w:ascii="宋体" w:hAnsi="宋体" w:eastAsia="宋体" w:cs="宋体"/>
          <w:kern w:val="2"/>
          <w:sz w:val="24"/>
          <w:szCs w:val="24"/>
          <w:woUserID w:val="1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 w:bidi="ar"/>
          <w:woUserID w:val="1"/>
        </w:rPr>
        <w:t>注：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 xml:space="preserve"> 以上处罚比例及金额为示例，具体数值需根据合同总金额及医院内部规定进行调整。</w:t>
      </w:r>
    </w:p>
    <w:p>
      <w:pPr>
        <w:keepNext w:val="0"/>
        <w:keepLines w:val="0"/>
        <w:widowControl/>
        <w:suppressLineNumbers w:val="0"/>
        <w:jc w:val="center"/>
        <w:rPr>
          <w:woUserID w:val="1"/>
        </w:rPr>
      </w:pPr>
      <w:bookmarkStart w:id="0" w:name="_GoBack"/>
      <w:r>
        <w:rPr>
          <w:rFonts w:hint="eastAsia" w:ascii="宋体" w:hAnsi="宋体" w:eastAsia="宋体" w:cs="宋体"/>
          <w:kern w:val="2"/>
          <w:sz w:val="24"/>
          <w:szCs w:val="24"/>
          <w:woUserID w:val="1"/>
        </w:rPr>
        <w:pict>
          <v:rect id="_x0000_i103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  <w:bookmarkEnd w:id="0"/>
    </w:p>
    <w:p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eastAsia" w:ascii="宋体" w:hAnsi="宋体" w:eastAsia="宋体" w:cs="宋体"/>
          <w:b/>
          <w:bCs/>
          <w:caps w:val="0"/>
          <w:color w:val="0F1115"/>
          <w:spacing w:val="0"/>
          <w:kern w:val="0"/>
          <w:sz w:val="33"/>
          <w:szCs w:val="33"/>
          <w:shd w:val="clear" w:fill="FFFFFF"/>
          <w:woUserID w:val="1"/>
        </w:rPr>
      </w:pPr>
      <w:r>
        <w:rPr>
          <w:rStyle w:val="10"/>
          <w:rFonts w:hint="eastAsia" w:ascii="宋体" w:hAnsi="宋体" w:eastAsia="宋体" w:cs="宋体"/>
          <w:b/>
          <w:bCs w:val="0"/>
          <w:caps w:val="0"/>
          <w:color w:val="0F1115"/>
          <w:spacing w:val="0"/>
          <w:sz w:val="33"/>
          <w:szCs w:val="33"/>
          <w:shd w:val="clear" w:fill="FFFFFF"/>
          <w:woUserID w:val="1"/>
        </w:rPr>
        <w:t>七、结论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42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woUserID w:val="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"/>
          <w:woUserID w:val="1"/>
        </w:rPr>
        <w:t>本需求分析报告明确了医院在未来一年内对数据库维保服务的具体、量化要求。这不仅是对服务商技术能力的考验，更是对其服务流程、响应速度和责任担当的全面评估。建议基于本报告编制详细的采购文件，通过公开、公平、公正的方式，遴选出一家具备强大技术实力、丰富医疗行业经验和良好服务口碑的合作伙伴，共同保障医院信息系统的稳定、高效、安全运行。</w:t>
      </w: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175C2"/>
    <w:rsid w:val="17C23653"/>
    <w:rsid w:val="2B8F578A"/>
    <w:rsid w:val="47A0506F"/>
    <w:rsid w:val="6BFEFA1F"/>
    <w:rsid w:val="77F04473"/>
    <w:rsid w:val="7A19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4"/>
      <w:szCs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15"/>
    <w:basedOn w:val="8"/>
    <w:uiPriority w:val="0"/>
    <w:rPr>
      <w:rFonts w:hint="default" w:ascii="Times New Roman" w:hAnsi="Times New Roman" w:cs="Times New Roman"/>
      <w:b/>
    </w:rPr>
  </w:style>
  <w:style w:type="character" w:customStyle="1" w:styleId="11">
    <w:name w:val="10"/>
    <w:basedOn w:val="8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1</Lines>
  <Paragraphs>1</Paragraphs>
  <TotalTime>31</TotalTime>
  <ScaleCrop>false</ScaleCrop>
  <LinksUpToDate>false</LinksUpToDate>
  <CharactersWithSpaces>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2026-03-03T09:00:00Z</dcterms:created>
  <dc:creator>Administrator</dc:creator>
  <cp:lastModifiedBy>admin</cp:lastModifiedBy>
  <dcterms:modified xsi:type="dcterms:W3CDTF">2026-03-05T15:50:53Z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KSOTemplateDocerSaveRecord">
    <vt:lpwstr>eyJoZGlkIjoiYTI2Nzg4ZmFkZGU1OTUwYTViOGRjNzIxNDIxMTAzM2MiLCJ1c2VySWQiOiIxNTkzMTMzNDE3In0=</vt:lpwstr>
  </property>
  <property fmtid="{D5CDD505-2E9C-101B-9397-08002B2CF9AE}" pid="4" name="ICV">
    <vt:lpwstr>8448DBE4DD0447D790DD77C5BF5F368C_12</vt:lpwstr>
  </property>
</Properties>
</file>