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1100" w:firstLineChars="25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北流市人民医院AI服务器整体扩容升级服务需求方案</w:t>
      </w:r>
    </w:p>
    <w:p>
      <w:pPr>
        <w:numPr>
          <w:ilvl w:val="0"/>
          <w:numId w:val="2"/>
        </w:numPr>
        <w:ind w:left="0" w:leftChars="0" w:right="0" w:rightChars="0" w:firstLine="0" w:firstLineChars="0"/>
        <w:rPr>
          <w:rFonts w:hint="eastAsia" w:ascii="SimHei;汉仪中黑KW" w:hAnsi="SimHei;汉仪中黑KW" w:eastAsia="SimHei;汉仪中黑KW" w:cs="SimHei;汉仪中黑KW"/>
          <w:color w:val="000000"/>
          <w:sz w:val="32"/>
          <w:szCs w:val="32"/>
        </w:rPr>
      </w:pPr>
      <w:r>
        <w:rPr>
          <w:rFonts w:hint="eastAsia" w:ascii="SimHei;汉仪中黑KW" w:hAnsi="SimHei;汉仪中黑KW" w:eastAsia="SimHei;汉仪中黑KW" w:cs="SimHei;汉仪中黑KW"/>
          <w:color w:val="000000"/>
          <w:sz w:val="32"/>
          <w:szCs w:val="32"/>
        </w:rPr>
        <w:t>基本概述：</w:t>
      </w:r>
    </w:p>
    <w:p>
      <w:pPr>
        <w:keepNext w:val="0"/>
        <w:keepLines w:val="0"/>
        <w:pageBreakBefore w:val="0"/>
        <w:widowControl w:val="0"/>
        <w:kinsoku/>
        <w:overflowPunct/>
        <w:autoSpaceDE/>
        <w:bidi w:val="0"/>
        <w:snapToGrid/>
        <w:spacing w:line="500" w:lineRule="exact"/>
        <w:ind w:left="0" w:leftChars="0" w:right="0" w:rightChars="0" w:firstLineChars="256"/>
        <w:jc w:val="left"/>
        <w:textAlignment w:val="auto"/>
        <w:rPr>
          <w:rFonts w:ascii="仿宋;方正仿宋_GBK" w:hAnsi="仿宋;方正仿宋_GBK" w:eastAsia="仿宋;方正仿宋_GBK" w:cs="仿宋;方正仿宋_GBK"/>
          <w:color w:val="000000" w:themeColor="text1"/>
          <w:sz w:val="32"/>
          <w:szCs w:val="32"/>
        </w:rPr>
      </w:pPr>
      <w:r>
        <w:rPr>
          <w:rFonts w:hint="eastAsia" w:ascii="仿宋;方正仿宋_GBK" w:hAnsi="仿宋;方正仿宋_GBK" w:eastAsia="仿宋;方正仿宋_GBK" w:cs="仿宋;方正仿宋_GBK"/>
          <w:color w:val="000000" w:themeColor="text1"/>
          <w:sz w:val="32"/>
          <w:szCs w:val="32"/>
        </w:rPr>
        <w:t>1、当前，我院信息化基础设施主要围绕医院信息系统（HIS）、实验室信息系统（LIS）及影像归档和通信系统（PACS）等常规业务构建</w:t>
      </w:r>
      <w:r>
        <w:rPr>
          <w:rFonts w:ascii="仿宋;方正仿宋_GBK" w:hAnsi="仿宋;方正仿宋_GBK" w:eastAsia="仿宋;方正仿宋_GBK" w:cs="仿宋;方正仿宋_GBK"/>
          <w:color w:val="000000" w:themeColor="text1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overflowPunct/>
        <w:autoSpaceDE/>
        <w:bidi w:val="0"/>
        <w:snapToGrid/>
        <w:spacing w:line="500" w:lineRule="exact"/>
        <w:ind w:left="0" w:leftChars="0" w:right="0" w:rightChars="0" w:firstLineChars="256"/>
        <w:jc w:val="left"/>
        <w:textAlignment w:val="auto"/>
        <w:rPr>
          <w:rFonts w:ascii="仿宋;方正仿宋_GBK" w:hAnsi="仿宋;方正仿宋_GBK" w:eastAsia="仿宋;方正仿宋_GBK" w:cs="仿宋;方正仿宋_GBK"/>
          <w:color w:val="000000" w:themeColor="text1"/>
          <w:sz w:val="32"/>
          <w:szCs w:val="32"/>
        </w:rPr>
      </w:pPr>
      <w:r>
        <w:rPr>
          <w:rFonts w:hint="eastAsia" w:ascii="仿宋;方正仿宋_GBK" w:hAnsi="仿宋;方正仿宋_GBK" w:eastAsia="仿宋;方正仿宋_GBK" w:cs="仿宋;方正仿宋_GBK"/>
          <w:color w:val="000000" w:themeColor="text1"/>
          <w:sz w:val="32"/>
          <w:szCs w:val="32"/>
        </w:rPr>
        <w:t>2、在此基础上，我院已自主研发并上线运行AI医生、AI护理交班等智能应用，在医疗人工智能领域积累了实践经验。为深入契合国家</w:t>
      </w:r>
      <w:r>
        <w:rPr>
          <w:rFonts w:hint="eastAsia" w:ascii="仿宋;方正仿宋_GBK" w:hAnsi="仿宋;方正仿宋_GBK" w:eastAsia="仿宋;方正仿宋_GBK" w:cs="仿宋;方正仿宋_GBK"/>
          <w:color w:val="000000" w:themeColor="text1"/>
          <w:sz w:val="32"/>
          <w:szCs w:val="32"/>
          <w:lang w:eastAsia="zh-CN"/>
        </w:rPr>
        <w:t>、</w:t>
      </w:r>
      <w:r>
        <w:rPr>
          <w:rFonts w:hint="eastAsia" w:ascii="仿宋;方正仿宋_GBK" w:hAnsi="仿宋;方正仿宋_GBK" w:eastAsia="仿宋;方正仿宋_GBK" w:cs="仿宋;方正仿宋_GBK"/>
          <w:color w:val="000000" w:themeColor="text1"/>
          <w:sz w:val="32"/>
          <w:szCs w:val="32"/>
          <w:lang w:val="en-US" w:eastAsia="zh-CN"/>
        </w:rPr>
        <w:t>医院</w:t>
      </w:r>
      <w:r>
        <w:rPr>
          <w:rFonts w:hint="eastAsia" w:ascii="仿宋;方正仿宋_GBK" w:hAnsi="仿宋;方正仿宋_GBK" w:eastAsia="仿宋;方正仿宋_GBK" w:cs="仿宋;方正仿宋_GBK"/>
          <w:color w:val="000000" w:themeColor="text1"/>
          <w:sz w:val="32"/>
          <w:szCs w:val="32"/>
        </w:rPr>
        <w:t>“十五五”发展规划对智慧医疗的要求，保障我院</w:t>
      </w:r>
      <w:r>
        <w:rPr>
          <w:rFonts w:hint="eastAsia" w:ascii="仿宋;方正仿宋_GBK" w:hAnsi="仿宋;方正仿宋_GBK" w:eastAsia="仿宋;方正仿宋_GBK" w:cs="仿宋;方正仿宋_GBK"/>
          <w:color w:val="000000" w:themeColor="text1"/>
          <w:sz w:val="32"/>
          <w:szCs w:val="32"/>
          <w:lang w:val="en-US" w:eastAsia="zh-CN"/>
        </w:rPr>
        <w:t>自研</w:t>
      </w:r>
      <w:r>
        <w:rPr>
          <w:rFonts w:hint="eastAsia" w:ascii="仿宋;方正仿宋_GBK" w:hAnsi="仿宋;方正仿宋_GBK" w:eastAsia="仿宋;方正仿宋_GBK" w:cs="仿宋;方正仿宋_GBK"/>
          <w:color w:val="000000" w:themeColor="text1"/>
          <w:sz w:val="32"/>
          <w:szCs w:val="32"/>
        </w:rPr>
        <w:t>移动护理系统的持续研发与长远发展，现拟增设计算资源，本地化部署阿里医疗健康大模型。该模型为医疗垂直领域专业大模型，可适配诊疗分析辅助、病历书写辅助、病历质控</w:t>
      </w:r>
      <w:r>
        <w:rPr>
          <w:rFonts w:hint="eastAsia" w:ascii="仿宋;方正仿宋_GBK" w:hAnsi="仿宋;方正仿宋_GBK" w:eastAsia="仿宋;方正仿宋_GBK" w:cs="仿宋;方正仿宋_GBK"/>
          <w:color w:val="000000" w:themeColor="text1"/>
          <w:sz w:val="32"/>
          <w:szCs w:val="32"/>
          <w:lang w:eastAsia="zh-CN"/>
        </w:rPr>
        <w:t>、</w:t>
      </w:r>
      <w:r>
        <w:rPr>
          <w:rFonts w:hint="eastAsia" w:ascii="仿宋;方正仿宋_GBK" w:hAnsi="仿宋;方正仿宋_GBK" w:eastAsia="仿宋;方正仿宋_GBK" w:cs="仿宋;方正仿宋_GBK"/>
          <w:color w:val="000000" w:themeColor="text1"/>
          <w:sz w:val="32"/>
          <w:szCs w:val="32"/>
          <w:lang w:val="en-US" w:eastAsia="zh-CN"/>
        </w:rPr>
        <w:t>自动整合护理交班资料、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highlight w:val="none"/>
        </w:rPr>
        <w:t>移动护理 PDA 端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highlight w:val="none"/>
          <w:lang w:eastAsia="zh-CN"/>
        </w:rPr>
        <w:t>、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highlight w:val="none"/>
        </w:rPr>
        <w:t>核心医嘱闭环执行、风险预警提醒、AI 查房辅助</w:t>
      </w:r>
      <w:r>
        <w:rPr>
          <w:rFonts w:hint="eastAsia" w:ascii="仿宋;方正仿宋_GBK" w:hAnsi="仿宋;方正仿宋_GBK" w:eastAsia="仿宋;方正仿宋_GBK" w:cs="仿宋;方正仿宋_GBK"/>
          <w:color w:val="000000" w:themeColor="text1"/>
          <w:sz w:val="32"/>
          <w:szCs w:val="32"/>
        </w:rPr>
        <w:t>等多类院内业务场景，赋能临床、</w:t>
      </w:r>
      <w:r>
        <w:rPr>
          <w:rFonts w:hint="eastAsia" w:ascii="仿宋;方正仿宋_GBK" w:hAnsi="仿宋;方正仿宋_GBK" w:eastAsia="仿宋;方正仿宋_GBK" w:cs="仿宋;方正仿宋_GBK"/>
          <w:color w:val="000000" w:themeColor="text1"/>
          <w:sz w:val="32"/>
          <w:szCs w:val="32"/>
          <w:lang w:val="en-US" w:eastAsia="zh-CN"/>
        </w:rPr>
        <w:t>护理、</w:t>
      </w:r>
      <w:r>
        <w:rPr>
          <w:rFonts w:hint="eastAsia" w:ascii="仿宋;方正仿宋_GBK" w:hAnsi="仿宋;方正仿宋_GBK" w:eastAsia="仿宋;方正仿宋_GBK" w:cs="仿宋;方正仿宋_GBK"/>
          <w:color w:val="000000" w:themeColor="text1"/>
          <w:sz w:val="32"/>
          <w:szCs w:val="32"/>
        </w:rPr>
        <w:t>科研与</w:t>
      </w:r>
      <w:r>
        <w:rPr>
          <w:rFonts w:hint="eastAsia" w:ascii="仿宋;方正仿宋_GBK" w:hAnsi="仿宋;方正仿宋_GBK" w:eastAsia="仿宋;方正仿宋_GBK" w:cs="仿宋;方正仿宋_GBK"/>
          <w:color w:val="000000" w:themeColor="text1"/>
          <w:sz w:val="32"/>
          <w:szCs w:val="32"/>
          <w:lang w:val="en-US" w:eastAsia="zh-CN"/>
        </w:rPr>
        <w:t>管理</w:t>
      </w:r>
      <w:r>
        <w:rPr>
          <w:rFonts w:hint="eastAsia" w:ascii="仿宋;方正仿宋_GBK" w:hAnsi="仿宋;方正仿宋_GBK" w:eastAsia="仿宋;方正仿宋_GBK" w:cs="仿宋;方正仿宋_GBK"/>
          <w:color w:val="000000" w:themeColor="text1"/>
          <w:sz w:val="32"/>
          <w:szCs w:val="32"/>
        </w:rPr>
        <w:t>等部门，以统一算力底座支撑现有AI应用升级与未来创新，助力医院智能化转型走深走实。</w:t>
      </w:r>
    </w:p>
    <w:p>
      <w:pPr>
        <w:numPr>
          <w:ilvl w:val="0"/>
          <w:numId w:val="2"/>
        </w:numPr>
        <w:ind w:left="0" w:leftChars="0" w:right="0" w:rightChars="0" w:firstLine="0" w:firstLineChars="0"/>
        <w:rPr>
          <w:rFonts w:hint="eastAsia" w:ascii="SimHei;汉仪中黑KW" w:hAnsi="SimHei;汉仪中黑KW" w:eastAsia="SimHei;汉仪中黑KW" w:cs="SimHei;汉仪中黑KW"/>
          <w:color w:val="000000"/>
          <w:sz w:val="32"/>
          <w:szCs w:val="32"/>
        </w:rPr>
      </w:pPr>
      <w:r>
        <w:rPr>
          <w:rFonts w:hint="eastAsia" w:ascii="SimHei;汉仪中黑KW" w:hAnsi="SimHei;汉仪中黑KW" w:eastAsia="SimHei;汉仪中黑KW" w:cs="SimHei;汉仪中黑KW"/>
          <w:color w:val="000000"/>
          <w:sz w:val="32"/>
          <w:szCs w:val="32"/>
        </w:rPr>
        <w:t>部署模型资源需求及性能要求：</w:t>
      </w:r>
    </w:p>
    <w:p>
      <w:pPr>
        <w:keepNext w:val="0"/>
        <w:keepLines w:val="0"/>
        <w:pageBreakBefore w:val="0"/>
        <w:widowControl w:val="0"/>
        <w:kinsoku/>
        <w:overflowPunct/>
        <w:autoSpaceDE/>
        <w:bidi w:val="0"/>
        <w:snapToGrid/>
        <w:spacing w:line="500" w:lineRule="exact"/>
        <w:ind w:left="0" w:leftChars="0" w:right="0" w:rightChars="0" w:firstLineChars="256"/>
        <w:jc w:val="left"/>
        <w:textAlignment w:val="auto"/>
        <w:rPr>
          <w:rFonts w:hint="eastAsia" w:ascii="仿宋;方正仿宋_GBK" w:hAnsi="仿宋;方正仿宋_GBK" w:eastAsia="仿宋;方正仿宋_GBK" w:cs="仿宋;方正仿宋_GBK"/>
          <w:color w:val="000000"/>
          <w:sz w:val="32"/>
          <w:szCs w:val="32"/>
        </w:rPr>
      </w:pPr>
      <w:r>
        <w:rPr>
          <w:rFonts w:hint="eastAsia" w:ascii="仿宋;方正仿宋_GBK" w:hAnsi="仿宋;方正仿宋_GBK" w:eastAsia="仿宋;方正仿宋_GBK" w:cs="仿宋;方正仿宋_GBK"/>
          <w:color w:val="000000"/>
          <w:sz w:val="32"/>
          <w:szCs w:val="32"/>
        </w:rPr>
        <w:t>1、本次部署阿里医疗健康垂直领域大模型，经资源测算，模型加载与推理运行合计需占用 GPU 显存 205.79GB，需规划适配的高显存 GPU 硬件资源，保障医疗 AI 业务落地及持续稳定服务。</w:t>
      </w:r>
    </w:p>
    <w:p>
      <w:pPr>
        <w:keepNext w:val="0"/>
        <w:keepLines w:val="0"/>
        <w:pageBreakBefore w:val="0"/>
        <w:widowControl w:val="0"/>
        <w:kinsoku/>
        <w:overflowPunct/>
        <w:autoSpaceDE/>
        <w:bidi w:val="0"/>
        <w:snapToGrid/>
        <w:spacing w:line="500" w:lineRule="exact"/>
        <w:ind w:left="0" w:leftChars="0" w:right="0" w:rightChars="0" w:firstLineChars="256"/>
        <w:jc w:val="left"/>
        <w:textAlignment w:val="auto"/>
        <w:rPr>
          <w:rFonts w:ascii="仿宋;方正仿宋_GBK" w:hAnsi="仿宋;方正仿宋_GBK" w:eastAsia="仿宋;方正仿宋_GBK" w:cs="仿宋;方正仿宋_GBK"/>
          <w:color w:val="000000"/>
          <w:sz w:val="32"/>
          <w:szCs w:val="32"/>
        </w:rPr>
      </w:pPr>
      <w:r>
        <w:rPr>
          <w:rFonts w:hint="eastAsia" w:ascii="仿宋;方正仿宋_GBK" w:hAnsi="仿宋;方正仿宋_GBK" w:eastAsia="仿宋;方正仿宋_GBK" w:cs="仿宋;方正仿宋_GBK"/>
          <w:color w:val="000000"/>
          <w:sz w:val="32"/>
          <w:szCs w:val="32"/>
        </w:rPr>
        <w:t>2、GPU性能要求：INT8性能＞2400 T0PS，CUDA核心：≧16384个，流处理器：≧16384个，性能参数：BF16≧165.2/ F16≧165.2/F32≧82.58, TFLOPS：F16≧82.58/F32≧82.58。</w:t>
      </w:r>
    </w:p>
    <w:p>
      <w:pPr>
        <w:numPr>
          <w:ilvl w:val="0"/>
          <w:numId w:val="2"/>
        </w:numPr>
        <w:ind w:left="0" w:leftChars="0" w:right="0" w:rightChars="0" w:firstLine="0" w:firstLineChars="0"/>
        <w:rPr>
          <w:rFonts w:hint="eastAsia" w:ascii="SimHei;汉仪中黑KW" w:hAnsi="SimHei;汉仪中黑KW" w:eastAsia="SimHei;汉仪中黑KW" w:cs="SimHei;汉仪中黑KW"/>
          <w:color w:val="000000"/>
          <w:sz w:val="32"/>
          <w:szCs w:val="32"/>
        </w:rPr>
      </w:pPr>
      <w:r>
        <w:rPr>
          <w:rFonts w:hint="eastAsia" w:ascii="SimHei;汉仪中黑KW" w:hAnsi="SimHei;汉仪中黑KW" w:eastAsia="SimHei;汉仪中黑KW" w:cs="SimHei;汉仪中黑KW"/>
          <w:color w:val="000000"/>
          <w:sz w:val="32"/>
          <w:szCs w:val="32"/>
        </w:rPr>
        <w:t>现有AI服务器状况：</w:t>
      </w:r>
    </w:p>
    <w:p>
      <w:pPr>
        <w:keepNext w:val="0"/>
        <w:keepLines w:val="0"/>
        <w:pageBreakBefore w:val="0"/>
        <w:widowControl w:val="0"/>
        <w:kinsoku/>
        <w:overflowPunct/>
        <w:autoSpaceDE/>
        <w:bidi w:val="0"/>
        <w:snapToGrid/>
        <w:spacing w:line="500" w:lineRule="exact"/>
        <w:ind w:left="0" w:leftChars="0" w:right="0" w:rightChars="0" w:firstLineChars="256"/>
        <w:jc w:val="left"/>
        <w:textAlignment w:val="auto"/>
        <w:rPr>
          <w:rFonts w:ascii="仿宋;方正仿宋_GBK" w:hAnsi="仿宋;方正仿宋_GBK" w:eastAsia="仿宋;方正仿宋_GBK" w:cs="仿宋;方正仿宋_GBK"/>
          <w:color w:val="000000"/>
          <w:sz w:val="32"/>
          <w:szCs w:val="32"/>
        </w:rPr>
      </w:pPr>
      <w:r>
        <w:rPr>
          <w:rFonts w:ascii="仿宋;方正仿宋_GBK" w:hAnsi="仿宋;方正仿宋_GBK" w:eastAsia="仿宋;方正仿宋_GBK" w:cs="仿宋;方正仿宋_GBK"/>
          <w:color w:val="000000"/>
          <w:sz w:val="32"/>
          <w:szCs w:val="32"/>
        </w:rPr>
        <w:t>1、服务器型号：联想ThinkSystem SR675 V3</w:t>
      </w:r>
    </w:p>
    <w:tbl>
      <w:tblPr>
        <w:tblStyle w:val="8"/>
        <w:tblW w:w="9203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57"/>
        <w:gridCol w:w="6270"/>
        <w:gridCol w:w="117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b/>
                <w:bCs/>
                <w:position w:val="0"/>
                <w:sz w:val="28"/>
                <w:szCs w:val="28"/>
                <w:vertAlign w:val="baseline"/>
              </w:rPr>
            </w:pPr>
            <w:r>
              <w:rPr>
                <w:rFonts w:hint="eastAsia"/>
                <w:b/>
                <w:bCs/>
                <w:position w:val="0"/>
                <w:sz w:val="28"/>
                <w:szCs w:val="28"/>
                <w:vertAlign w:val="baseline"/>
              </w:rPr>
              <w:t>名称</w:t>
            </w:r>
          </w:p>
        </w:tc>
        <w:tc>
          <w:tcPr>
            <w:tcW w:w="6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b/>
                <w:bCs/>
                <w:position w:val="0"/>
                <w:sz w:val="28"/>
                <w:szCs w:val="28"/>
                <w:vertAlign w:val="baseline"/>
              </w:rPr>
            </w:pPr>
            <w:r>
              <w:rPr>
                <w:rFonts w:hint="eastAsia"/>
                <w:b/>
                <w:bCs/>
                <w:position w:val="0"/>
                <w:sz w:val="28"/>
                <w:szCs w:val="28"/>
                <w:vertAlign w:val="baseline"/>
              </w:rPr>
              <w:t>参数</w:t>
            </w: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b/>
                <w:bCs/>
                <w:position w:val="0"/>
                <w:sz w:val="28"/>
                <w:szCs w:val="28"/>
                <w:vertAlign w:val="baseline"/>
              </w:rPr>
            </w:pPr>
            <w:r>
              <w:rPr>
                <w:rFonts w:hint="eastAsia"/>
                <w:b/>
                <w:bCs/>
                <w:position w:val="0"/>
                <w:sz w:val="28"/>
                <w:szCs w:val="28"/>
                <w:vertAlign w:val="baseline"/>
              </w:rPr>
              <w:t>数量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 w:themeColor="text1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32"/>
                <w:szCs w:val="32"/>
                <w:lang w:val="en-US" w:eastAsia="zh-CN"/>
              </w:rPr>
              <w:t>CPU</w:t>
            </w:r>
          </w:p>
        </w:tc>
        <w:tc>
          <w:tcPr>
            <w:tcW w:w="6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firstLine="819" w:firstLineChars="256"/>
              <w:jc w:val="left"/>
              <w:textAlignment w:val="auto"/>
              <w:rPr>
                <w:rFonts w:hint="eastAsia" w:ascii="仿宋" w:hAnsi="仿宋" w:eastAsia="仿宋" w:cs="仿宋"/>
                <w:color w:val="000000" w:themeColor="text1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32"/>
                <w:szCs w:val="32"/>
                <w:lang w:val="en-US" w:eastAsia="zh-CN"/>
              </w:rPr>
              <w:t>处理器：AMD9124 16C 3.0GHz</w:t>
            </w: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 w:themeColor="text1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32"/>
                <w:szCs w:val="32"/>
                <w:lang w:val="en-US" w:eastAsia="zh-CN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 w:themeColor="text1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32"/>
                <w:szCs w:val="32"/>
                <w:lang w:val="en-US" w:eastAsia="zh-CN"/>
              </w:rPr>
              <w:t>内存</w:t>
            </w:r>
          </w:p>
        </w:tc>
        <w:tc>
          <w:tcPr>
            <w:tcW w:w="6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firstLine="819" w:firstLineChars="256"/>
              <w:jc w:val="left"/>
              <w:textAlignment w:val="auto"/>
              <w:rPr>
                <w:rFonts w:hint="eastAsia" w:ascii="仿宋" w:hAnsi="仿宋" w:eastAsia="仿宋" w:cs="仿宋"/>
                <w:color w:val="000000" w:themeColor="text1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32"/>
                <w:szCs w:val="32"/>
                <w:lang w:val="en-US" w:eastAsia="zh-CN"/>
              </w:rPr>
              <w:t>32GB DDR54800MHz内存</w:t>
            </w: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 w:themeColor="text1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32"/>
                <w:szCs w:val="32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 w:themeColor="text1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32"/>
                <w:szCs w:val="32"/>
                <w:lang w:val="en-US" w:eastAsia="zh-CN"/>
              </w:rPr>
              <w:t>硬盘</w:t>
            </w:r>
          </w:p>
        </w:tc>
        <w:tc>
          <w:tcPr>
            <w:tcW w:w="6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firstLine="819" w:firstLineChars="256"/>
              <w:jc w:val="left"/>
              <w:textAlignment w:val="auto"/>
              <w:rPr>
                <w:rFonts w:hint="eastAsia" w:ascii="仿宋" w:hAnsi="仿宋" w:eastAsia="仿宋" w:cs="仿宋"/>
                <w:color w:val="000000" w:themeColor="text1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32"/>
                <w:szCs w:val="32"/>
                <w:lang w:val="en-US" w:eastAsia="zh-CN"/>
              </w:rPr>
              <w:t>1块960GBM.2</w:t>
            </w: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 w:themeColor="text1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32"/>
                <w:szCs w:val="32"/>
                <w:lang w:val="en-US" w:eastAsia="zh-CN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 w:themeColor="text1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32"/>
                <w:szCs w:val="32"/>
                <w:lang w:val="en-US" w:eastAsia="zh-CN"/>
              </w:rPr>
              <w:t>硬盘</w:t>
            </w:r>
          </w:p>
        </w:tc>
        <w:tc>
          <w:tcPr>
            <w:tcW w:w="6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firstLine="819" w:firstLineChars="256"/>
              <w:jc w:val="left"/>
              <w:textAlignment w:val="auto"/>
              <w:rPr>
                <w:rFonts w:hint="eastAsia" w:ascii="仿宋" w:hAnsi="仿宋" w:eastAsia="仿宋" w:cs="仿宋"/>
                <w:color w:val="000000" w:themeColor="text1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32"/>
                <w:szCs w:val="32"/>
                <w:lang w:val="en-US" w:eastAsia="zh-CN"/>
              </w:rPr>
              <w:t>1.92 TBSSD</w:t>
            </w: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 w:themeColor="text1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32"/>
                <w:szCs w:val="32"/>
                <w:lang w:val="en-US" w:eastAsia="zh-CN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 w:themeColor="text1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32"/>
                <w:szCs w:val="32"/>
                <w:lang w:val="en-US" w:eastAsia="zh-CN"/>
              </w:rPr>
              <w:t>GPU算力卡</w:t>
            </w:r>
          </w:p>
        </w:tc>
        <w:tc>
          <w:tcPr>
            <w:tcW w:w="6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firstLine="819" w:firstLineChars="256"/>
              <w:jc w:val="left"/>
              <w:textAlignment w:val="auto"/>
              <w:rPr>
                <w:rFonts w:hint="eastAsia" w:ascii="仿宋" w:hAnsi="仿宋" w:eastAsia="仿宋" w:cs="仿宋"/>
                <w:color w:val="000000" w:themeColor="text1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32"/>
                <w:szCs w:val="32"/>
                <w:lang w:val="en-US" w:eastAsia="zh-CN"/>
              </w:rPr>
              <w:t>NVIDIA RTX 4090 24G显卡</w:t>
            </w: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 w:themeColor="text1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32"/>
                <w:szCs w:val="32"/>
                <w:lang w:val="en-US" w:eastAsia="zh-CN"/>
              </w:rPr>
              <w:t>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 w:themeColor="text1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32"/>
                <w:szCs w:val="32"/>
                <w:lang w:val="en-US" w:eastAsia="zh-CN"/>
              </w:rPr>
              <w:t>RAID卡</w:t>
            </w:r>
          </w:p>
        </w:tc>
        <w:tc>
          <w:tcPr>
            <w:tcW w:w="6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firstLine="819" w:firstLineChars="256"/>
              <w:jc w:val="left"/>
              <w:textAlignment w:val="auto"/>
              <w:rPr>
                <w:rFonts w:hint="eastAsia" w:ascii="仿宋" w:hAnsi="仿宋" w:eastAsia="仿宋" w:cs="仿宋"/>
                <w:color w:val="000000" w:themeColor="text1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32"/>
                <w:szCs w:val="32"/>
                <w:lang w:val="en-US" w:eastAsia="zh-CN"/>
              </w:rPr>
              <w:t>RAID功能:配置独立2G缓存RAID卡</w:t>
            </w: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 w:themeColor="text1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32"/>
                <w:szCs w:val="32"/>
                <w:lang w:val="en-US" w:eastAsia="zh-CN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 w:themeColor="text1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32"/>
                <w:szCs w:val="32"/>
                <w:lang w:val="en-US" w:eastAsia="zh-CN"/>
              </w:rPr>
              <w:t>电源</w:t>
            </w:r>
          </w:p>
        </w:tc>
        <w:tc>
          <w:tcPr>
            <w:tcW w:w="6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firstLine="819" w:firstLineChars="256"/>
              <w:jc w:val="left"/>
              <w:textAlignment w:val="auto"/>
              <w:rPr>
                <w:rFonts w:hint="eastAsia" w:ascii="仿宋" w:hAnsi="仿宋" w:eastAsia="仿宋" w:cs="仿宋"/>
                <w:color w:val="000000" w:themeColor="text1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32"/>
                <w:szCs w:val="32"/>
                <w:lang w:val="en-US" w:eastAsia="zh-CN"/>
              </w:rPr>
              <w:t>1600W热插拔铂金，冗余设计</w:t>
            </w: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 w:themeColor="text1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32"/>
                <w:szCs w:val="32"/>
                <w:lang w:val="en-US" w:eastAsia="zh-CN"/>
              </w:rPr>
              <w:t>4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overflowPunct/>
        <w:autoSpaceDE/>
        <w:bidi w:val="0"/>
        <w:snapToGrid/>
        <w:spacing w:line="500" w:lineRule="exact"/>
        <w:ind w:left="0" w:leftChars="0" w:right="0" w:rightChars="0" w:firstLineChars="256"/>
        <w:jc w:val="left"/>
        <w:textAlignment w:val="auto"/>
        <w:rPr>
          <w:rFonts w:hint="eastAsia" w:ascii="仿宋;方正仿宋_GBK" w:hAnsi="仿宋;方正仿宋_GBK" w:eastAsia="仿宋;方正仿宋_GBK" w:cs="仿宋;方正仿宋_GBK"/>
          <w:color w:val="000000"/>
          <w:sz w:val="32"/>
          <w:szCs w:val="32"/>
        </w:rPr>
      </w:pPr>
      <w:r>
        <w:rPr>
          <w:rFonts w:hint="eastAsia" w:ascii="仿宋;方正仿宋_GBK" w:hAnsi="仿宋;方正仿宋_GBK" w:eastAsia="仿宋;方正仿宋_GBK" w:cs="仿宋;方正仿宋_GBK"/>
          <w:color w:val="000000"/>
          <w:sz w:val="32"/>
          <w:szCs w:val="32"/>
        </w:rPr>
        <w:t>2、根据目前现有服务器配置内存、硬盘存储资源已完全满足阿里医疗健康大模型部署需求，无需扩容；仅需针对性升级扩展 GPU 显卡及 CPU 算力资源，配置满足 205.79GB 显存规格的 GPU 设备及匹配高性能 CPU，即可支撑大模型顺利部署、加载及常态化推理运行。</w:t>
      </w:r>
    </w:p>
    <w:p>
      <w:pPr>
        <w:keepNext w:val="0"/>
        <w:keepLines w:val="0"/>
        <w:pageBreakBefore w:val="0"/>
        <w:widowControl w:val="0"/>
        <w:kinsoku/>
        <w:overflowPunct/>
        <w:autoSpaceDE/>
        <w:bidi w:val="0"/>
        <w:snapToGrid/>
        <w:spacing w:line="500" w:lineRule="exact"/>
        <w:ind w:left="0" w:leftChars="0" w:right="0" w:rightChars="0" w:firstLineChars="256"/>
        <w:jc w:val="left"/>
        <w:textAlignment w:val="auto"/>
        <w:rPr>
          <w:rFonts w:ascii="仿宋;方正仿宋_GBK" w:hAnsi="仿宋;方正仿宋_GBK" w:eastAsia="仿宋;方正仿宋_GBK" w:cs="仿宋;方正仿宋_GBK"/>
          <w:color w:val="000000"/>
          <w:sz w:val="32"/>
          <w:szCs w:val="32"/>
        </w:rPr>
      </w:pPr>
      <w:r>
        <w:rPr>
          <w:rFonts w:hint="eastAsia" w:ascii="仿宋;方正仿宋_GBK" w:hAnsi="仿宋;方正仿宋_GBK" w:eastAsia="仿宋;方正仿宋_GBK" w:cs="仿宋;方正仿宋_GBK"/>
          <w:color w:val="000000"/>
          <w:sz w:val="32"/>
          <w:szCs w:val="32"/>
        </w:rPr>
        <w:t>3、为保障硬件性能一致、架构兼容，避免出现算力适配、驱动冲突及性能瓶颈，新增扩展 GPU 显卡需与原有显卡同型号</w:t>
      </w:r>
      <w:bookmarkStart w:id="0" w:name="_GoBack"/>
      <w:bookmarkEnd w:id="0"/>
      <w:r>
        <w:rPr>
          <w:rFonts w:hint="eastAsia" w:ascii="仿宋;方正仿宋_GBK" w:hAnsi="仿宋;方正仿宋_GBK" w:eastAsia="仿宋;方正仿宋_GBK" w:cs="仿宋;方正仿宋_GBK"/>
          <w:color w:val="000000"/>
          <w:sz w:val="32"/>
          <w:szCs w:val="32"/>
        </w:rPr>
        <w:t>进行扩容配置。</w:t>
      </w:r>
    </w:p>
    <w:p>
      <w:pPr>
        <w:numPr>
          <w:ilvl w:val="0"/>
          <w:numId w:val="2"/>
        </w:numPr>
        <w:ind w:left="0" w:leftChars="0" w:right="0" w:rightChars="0" w:firstLine="0" w:firstLineChars="0"/>
        <w:rPr>
          <w:rFonts w:hint="eastAsia" w:ascii="SimHei;汉仪中黑KW" w:hAnsi="SimHei;汉仪中黑KW" w:eastAsia="SimHei;汉仪中黑KW" w:cs="SimHei;汉仪中黑KW"/>
          <w:color w:val="000000"/>
          <w:sz w:val="32"/>
          <w:szCs w:val="32"/>
        </w:rPr>
      </w:pPr>
      <w:r>
        <w:rPr>
          <w:rFonts w:hint="eastAsia" w:ascii="SimHei;汉仪中黑KW" w:hAnsi="SimHei;汉仪中黑KW" w:eastAsia="SimHei;汉仪中黑KW" w:cs="SimHei;汉仪中黑KW"/>
          <w:color w:val="000000"/>
          <w:sz w:val="32"/>
          <w:szCs w:val="32"/>
        </w:rPr>
        <w:t>服务需求内容：</w:t>
      </w:r>
    </w:p>
    <w:p>
      <w:pPr>
        <w:keepNext w:val="0"/>
        <w:keepLines w:val="0"/>
        <w:pageBreakBefore w:val="0"/>
        <w:widowControl w:val="0"/>
        <w:kinsoku/>
        <w:overflowPunct/>
        <w:autoSpaceDE/>
        <w:bidi w:val="0"/>
        <w:snapToGrid/>
        <w:spacing w:line="500" w:lineRule="exact"/>
        <w:ind w:left="0" w:leftChars="0" w:right="0" w:rightChars="0" w:firstLineChars="256"/>
        <w:jc w:val="left"/>
        <w:textAlignment w:val="auto"/>
        <w:rPr>
          <w:rFonts w:hint="eastAsia" w:ascii="仿宋;方正仿宋_GBK" w:hAnsi="仿宋;方正仿宋_GBK" w:eastAsia="仿宋;方正仿宋_GBK" w:cs="仿宋;方正仿宋_GBK"/>
          <w:color w:val="000000"/>
          <w:sz w:val="32"/>
          <w:szCs w:val="32"/>
        </w:rPr>
      </w:pPr>
      <w:r>
        <w:rPr>
          <w:rFonts w:ascii="仿宋;方正仿宋_GBK" w:hAnsi="仿宋;方正仿宋_GBK" w:eastAsia="仿宋;方正仿宋_GBK" w:cs="仿宋;方正仿宋_GBK"/>
          <w:color w:val="000000"/>
          <w:sz w:val="32"/>
          <w:szCs w:val="32"/>
        </w:rPr>
        <w:t>1.</w:t>
      </w:r>
      <w:r>
        <w:rPr>
          <w:rFonts w:hint="eastAsia" w:ascii="仿宋;方正仿宋_GBK" w:hAnsi="仿宋;方正仿宋_GBK" w:eastAsia="仿宋;方正仿宋_GBK" w:cs="仿宋;方正仿宋_GBK"/>
          <w:color w:val="000000"/>
          <w:sz w:val="32"/>
          <w:szCs w:val="32"/>
        </w:rPr>
        <w:t>针对CPU：将现有32 核 CPU硬件配置，升级扩容至64 核 CPU，提升整机并行处理、调度及模型推理承载能力，满足医疗大模型业务高并发算力需求。</w:t>
      </w:r>
    </w:p>
    <w:p>
      <w:pPr>
        <w:keepNext w:val="0"/>
        <w:keepLines w:val="0"/>
        <w:pageBreakBefore w:val="0"/>
        <w:widowControl w:val="0"/>
        <w:kinsoku/>
        <w:overflowPunct/>
        <w:autoSpaceDE/>
        <w:bidi w:val="0"/>
        <w:snapToGrid/>
        <w:spacing w:line="500" w:lineRule="exact"/>
        <w:ind w:left="0" w:leftChars="0" w:right="0" w:rightChars="0" w:firstLineChars="256"/>
        <w:jc w:val="left"/>
        <w:textAlignment w:val="auto"/>
        <w:rPr>
          <w:rFonts w:hint="eastAsia" w:ascii="仿宋;方正仿宋_GBK" w:hAnsi="仿宋;方正仿宋_GBK" w:eastAsia="仿宋;方正仿宋_GBK" w:cs="仿宋;方正仿宋_GBK"/>
          <w:color w:val="000000" w:themeColor="text1"/>
          <w:sz w:val="32"/>
          <w:szCs w:val="32"/>
          <w:lang w:eastAsia="zh-CN"/>
        </w:rPr>
      </w:pPr>
      <w:r>
        <w:rPr>
          <w:rFonts w:ascii="仿宋;方正仿宋_GBK" w:hAnsi="仿宋;方正仿宋_GBK" w:eastAsia="仿宋;方正仿宋_GBK" w:cs="仿宋;方正仿宋_GBK"/>
          <w:color w:val="000000" w:themeColor="text1"/>
          <w:sz w:val="32"/>
          <w:szCs w:val="32"/>
        </w:rPr>
        <w:t>2.</w:t>
      </w:r>
      <w:r>
        <w:rPr>
          <w:rFonts w:hint="eastAsia" w:ascii="仿宋;方正仿宋_GBK" w:hAnsi="仿宋;方正仿宋_GBK" w:eastAsia="仿宋;方正仿宋_GBK" w:cs="仿宋;方正仿宋_GBK"/>
          <w:color w:val="000000" w:themeColor="text1"/>
          <w:sz w:val="32"/>
          <w:szCs w:val="32"/>
        </w:rPr>
        <w:t>针对医院自主研发的移动护理系统、AI医生及规划中的医疗大模型等业务集群，规划扩容高性能并行计算单元，构建总显存不低于205.79GB的医疗专属算力资源池</w:t>
      </w:r>
      <w:r>
        <w:rPr>
          <w:rFonts w:hint="eastAsia" w:ascii="仿宋;方正仿宋_GBK" w:hAnsi="仿宋;方正仿宋_GBK" w:eastAsia="仿宋;方正仿宋_GBK" w:cs="仿宋;方正仿宋_GBK"/>
          <w:color w:val="000000" w:themeColor="text1"/>
          <w:sz w:val="32"/>
          <w:szCs w:val="32"/>
          <w:lang w:eastAsia="zh-CN"/>
        </w:rPr>
        <w:t>，以此作为底座。</w:t>
      </w:r>
    </w:p>
    <w:p>
      <w:pPr>
        <w:keepNext w:val="0"/>
        <w:keepLines/>
        <w:pageBreakBefore w:val="0"/>
        <w:widowControl w:val="0"/>
        <w:kinsoku/>
        <w:overflowPunct/>
        <w:autoSpaceDE/>
        <w:bidi w:val="0"/>
        <w:snapToGrid/>
        <w:spacing w:line="500" w:lineRule="exact"/>
        <w:ind w:left="0" w:leftChars="0" w:right="0" w:rightChars="0" w:firstLineChars="256"/>
        <w:jc w:val="left"/>
        <w:textAlignment w:val="auto"/>
        <w:rPr>
          <w:rFonts w:hint="eastAsia" w:ascii="仿宋;方正仿宋_GBK" w:hAnsi="仿宋;方正仿宋_GBK" w:eastAsia="仿宋;方正仿宋_GBK" w:cs="仿宋;方正仿宋_GBK"/>
          <w:color w:val="000000"/>
          <w:sz w:val="32"/>
          <w:szCs w:val="32"/>
        </w:rPr>
      </w:pPr>
      <w:r>
        <w:rPr>
          <w:rFonts w:ascii="仿宋;方正仿宋_GBK" w:hAnsi="仿宋;方正仿宋_GBK" w:eastAsia="仿宋;方正仿宋_GBK" w:cs="仿宋;方正仿宋_GBK"/>
          <w:color w:val="000000"/>
          <w:sz w:val="32"/>
          <w:szCs w:val="32"/>
        </w:rPr>
        <w:t>3.针对整机运行性能与散热保障：服务器应支持正常、持续高负载及超频稳定运行，散热能力须满足 GPU 长时间满负荷运行需求，不得因散热不足或温度过高导致 GPU 降频、算力性能下降。</w:t>
      </w:r>
    </w:p>
    <w:p>
      <w:pPr>
        <w:keepNext w:val="0"/>
        <w:keepLines w:val="0"/>
        <w:pageBreakBefore w:val="0"/>
        <w:widowControl w:val="0"/>
        <w:kinsoku/>
        <w:overflowPunct/>
        <w:autoSpaceDE/>
        <w:bidi w:val="0"/>
        <w:snapToGrid/>
        <w:spacing w:line="500" w:lineRule="exact"/>
        <w:ind w:left="0" w:leftChars="0" w:right="0" w:rightChars="0" w:firstLineChars="256"/>
        <w:jc w:val="left"/>
        <w:textAlignment w:val="auto"/>
        <w:rPr>
          <w:rFonts w:ascii="仿宋;方正仿宋_GBK" w:hAnsi="仿宋;方正仿宋_GBK" w:eastAsia="仿宋;方正仿宋_GBK" w:cs="仿宋;方正仿宋_GBK"/>
          <w:color w:val="000000"/>
          <w:sz w:val="32"/>
          <w:szCs w:val="32"/>
        </w:rPr>
      </w:pPr>
      <w:r>
        <w:rPr>
          <w:rFonts w:hint="eastAsia" w:ascii="仿宋;方正仿宋_GBK" w:hAnsi="仿宋;方正仿宋_GBK" w:eastAsia="仿宋;方正仿宋_GBK" w:cs="仿宋;方正仿宋_GBK"/>
          <w:color w:val="000000"/>
          <w:sz w:val="32"/>
          <w:szCs w:val="32"/>
        </w:rPr>
        <w:t>4、提供基础算力资源服务包括如下：</w:t>
      </w:r>
    </w:p>
    <w:p>
      <w:pPr>
        <w:keepNext w:val="0"/>
        <w:keepLines w:val="0"/>
        <w:pageBreakBefore w:val="0"/>
        <w:widowControl w:val="0"/>
        <w:kinsoku/>
        <w:overflowPunct/>
        <w:autoSpaceDE/>
        <w:bidi w:val="0"/>
        <w:snapToGrid/>
        <w:spacing w:line="500" w:lineRule="exact"/>
        <w:ind w:left="0" w:leftChars="0" w:right="0" w:rightChars="0" w:firstLineChars="256"/>
        <w:jc w:val="left"/>
        <w:textAlignment w:val="auto"/>
        <w:rPr>
          <w:rFonts w:ascii="仿宋;方正仿宋_GBK" w:hAnsi="仿宋;方正仿宋_GBK" w:eastAsia="仿宋;方正仿宋_GBK" w:cs="仿宋;方正仿宋_GBK"/>
          <w:color w:val="000000"/>
          <w:sz w:val="32"/>
          <w:szCs w:val="32"/>
        </w:rPr>
      </w:pPr>
      <w:r>
        <w:rPr>
          <w:rFonts w:ascii="仿宋;方正仿宋_GBK" w:hAnsi="仿宋;方正仿宋_GBK" w:eastAsia="仿宋;方正仿宋_GBK" w:cs="仿宋;方正仿宋_GBK"/>
          <w:color w:val="000000"/>
          <w:sz w:val="32"/>
          <w:szCs w:val="32"/>
        </w:rPr>
        <w:t>计算资源：CPU 通用算力、GPU/NPU 智能算力、DPU 专用算力。</w:t>
      </w:r>
    </w:p>
    <w:p>
      <w:pPr>
        <w:keepNext w:val="0"/>
        <w:keepLines w:val="0"/>
        <w:pageBreakBefore w:val="0"/>
        <w:widowControl w:val="0"/>
        <w:kinsoku/>
        <w:overflowPunct/>
        <w:autoSpaceDE/>
        <w:bidi w:val="0"/>
        <w:snapToGrid/>
        <w:spacing w:line="500" w:lineRule="exact"/>
        <w:ind w:left="0" w:leftChars="0" w:right="0" w:rightChars="0" w:firstLineChars="256"/>
        <w:jc w:val="left"/>
        <w:textAlignment w:val="auto"/>
        <w:rPr>
          <w:rFonts w:ascii="仿宋;方正仿宋_GBK" w:hAnsi="仿宋;方正仿宋_GBK" w:eastAsia="仿宋;方正仿宋_GBK" w:cs="仿宋;方正仿宋_GBK"/>
          <w:color w:val="000000"/>
          <w:sz w:val="32"/>
          <w:szCs w:val="32"/>
        </w:rPr>
      </w:pPr>
      <w:r>
        <w:rPr>
          <w:rFonts w:ascii="仿宋;方正仿宋_GBK" w:hAnsi="仿宋;方正仿宋_GBK" w:eastAsia="仿宋;方正仿宋_GBK" w:cs="仿宋;方正仿宋_GBK"/>
          <w:color w:val="000000"/>
          <w:sz w:val="32"/>
          <w:szCs w:val="32"/>
        </w:rPr>
        <w:t>存储资源：对象存储、块存储、文件存储，配套数据备份与归档。</w:t>
      </w:r>
    </w:p>
    <w:p>
      <w:pPr>
        <w:keepNext w:val="0"/>
        <w:keepLines w:val="0"/>
        <w:pageBreakBefore w:val="0"/>
        <w:widowControl w:val="0"/>
        <w:kinsoku/>
        <w:overflowPunct/>
        <w:autoSpaceDE/>
        <w:bidi w:val="0"/>
        <w:snapToGrid/>
        <w:spacing w:line="500" w:lineRule="exact"/>
        <w:ind w:left="0" w:leftChars="0" w:right="0" w:rightChars="0" w:firstLineChars="256"/>
        <w:jc w:val="left"/>
        <w:textAlignment w:val="auto"/>
        <w:rPr>
          <w:rFonts w:hint="eastAsia" w:ascii="仿宋;方正仿宋_GBK" w:hAnsi="仿宋;方正仿宋_GBK" w:eastAsia="仿宋;方正仿宋_GBK" w:cs="仿宋;方正仿宋_GBK"/>
          <w:color w:val="000000"/>
          <w:sz w:val="32"/>
          <w:szCs w:val="32"/>
        </w:rPr>
      </w:pPr>
      <w:r>
        <w:rPr>
          <w:rFonts w:ascii="仿宋;方正仿宋_GBK" w:hAnsi="仿宋;方正仿宋_GBK" w:eastAsia="仿宋;方正仿宋_GBK" w:cs="仿宋;方正仿宋_GBK"/>
          <w:color w:val="000000"/>
          <w:sz w:val="32"/>
          <w:szCs w:val="32"/>
        </w:rPr>
        <w:t>网络资源：高速带宽、低时延专线、RDMA、算力专网，保障跨域协同。</w:t>
      </w:r>
      <w:r>
        <w:rPr>
          <w:rFonts w:hint="eastAsia" w:ascii="仿宋;方正仿宋_GBK" w:hAnsi="仿宋;方正仿宋_GBK" w:eastAsia="仿宋;方正仿宋_GBK" w:cs="仿宋;方正仿宋_GBK"/>
          <w:color w:val="000000"/>
          <w:sz w:val="32"/>
          <w:szCs w:val="32"/>
        </w:rPr>
        <w:t xml:space="preserve">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spacing w:before="0" w:after="0" w:line="360" w:lineRule="atLeast"/>
        <w:ind w:left="0" w:leftChars="0" w:right="0" w:rightChars="0" w:firstLine="0" w:firstLineChars="0"/>
        <w:jc w:val="left"/>
        <w:rPr>
          <w:rFonts w:ascii="SimSun;汉仪书宋二KW" w:hAnsi="SimSun;汉仪书宋二KW" w:eastAsia="仿宋;方正仿宋_GBK" w:cs="SimSun;汉仪书宋二KW"/>
          <w:b/>
          <w:bCs/>
          <w:color w:val="000000"/>
          <w:sz w:val="28"/>
          <w:szCs w:val="28"/>
        </w:rPr>
      </w:pPr>
    </w:p>
    <w:p>
      <w:pPr>
        <w:rPr>
          <w:rFonts w:ascii="SimSun;汉仪书宋二KW" w:hAnsi="SimSun;汉仪书宋二KW" w:cs="SimSun;汉仪书宋二KW"/>
          <w:b/>
          <w:bCs/>
          <w:sz w:val="28"/>
          <w:szCs w:val="28"/>
        </w:rPr>
      </w:pPr>
    </w:p>
    <w:sectPr>
      <w:footerReference r:id="rId3" w:type="default"/>
      <w:pgSz w:w="11906" w:h="16838"/>
      <w:pgMar w:top="1440" w:right="1800" w:bottom="1440" w:left="1800" w:header="0" w:footer="992" w:gutter="0"/>
      <w:pgNumType w:fmt="decimal"/>
      <w:cols w:space="720" w:num="1"/>
      <w:formProt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Unicode MS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Liberation Serif">
    <w:altName w:val="Times New Roman"/>
    <w:panose1 w:val="00000000000000000000"/>
    <w:charset w:val="01"/>
    <w:family w:val="roman"/>
    <w:pitch w:val="default"/>
    <w:sig w:usb0="00000000" w:usb1="00000000" w:usb2="00000000" w:usb3="00000000" w:csb0="00000000" w:csb1="00000000"/>
  </w:font>
  <w:font w:name="Songti SC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;Helvetica Neu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SimSun;汉仪书宋二KW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Liberation Sans">
    <w:altName w:val="Arial"/>
    <w:panose1 w:val="00000000000000000000"/>
    <w:charset w:val="01"/>
    <w:family w:val="swiss"/>
    <w:pitch w:val="default"/>
    <w:sig w:usb0="00000000" w:usb1="00000000" w:usb2="00000000" w:usb3="00000000" w:csb0="00000000" w:csb1="00000000"/>
  </w:font>
  <w:font w:name="PingFang SC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SimHei;汉仪中黑KW">
    <w:altName w:val="黑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;方正仿宋_GBK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rPr>
        <w:sz w:val="18"/>
      </w:rPr>
    </w:pPr>
    <w:r>
      <w:rPr>
        <w:sz w:val="18"/>
      </w:rPr>
      <w:pict>
        <v:shape id="_x0000_s4097" o:spid="_x0000_s4097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>
                <w:pPr>
                  <w:pStyle w:val="5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F092B84"/>
    <w:multiLevelType w:val="singleLevel"/>
    <w:tmpl w:val="CF092B84"/>
    <w:lvl w:ilvl="0" w:tentative="0">
      <w:start w:val="1"/>
      <w:numFmt w:val="chineseCountingThousand"/>
      <w:suff w:val="nothing"/>
      <w:lvlText w:val="%1、"/>
      <w:lvlJc w:val="left"/>
      <w:pPr>
        <w:tabs>
          <w:tab w:val="left" w:pos="0"/>
        </w:tabs>
        <w:ind w:left="0" w:firstLine="420"/>
      </w:pPr>
      <w:rPr>
        <w:rFonts w:hint="eastAsia"/>
      </w:rPr>
    </w:lvl>
  </w:abstractNum>
  <w:abstractNum w:abstractNumId="1">
    <w:nsid w:val="0053208E"/>
    <w:multiLevelType w:val="multilevel"/>
    <w:tmpl w:val="0053208E"/>
    <w:lvl w:ilvl="0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1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2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3" w:tentative="0">
      <w:start w:val="1"/>
      <w:numFmt w:val="none"/>
      <w:pStyle w:val="2"/>
      <w:suff w:val="nothing"/>
      <w:lvlText w:val=""/>
      <w:lvlJc w:val="left"/>
      <w:pPr>
        <w:tabs>
          <w:tab w:val="left" w:pos="0"/>
        </w:tabs>
        <w:ind w:left="0" w:firstLine="0"/>
      </w:pPr>
    </w:lvl>
    <w:lvl w:ilvl="4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5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6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7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8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420"/>
  <w:autoHyphenation/>
  <w:hyphenationZone w:val="0"/>
  <w:hdrShapeDefaults>
    <o:shapelayout v:ext="edit">
      <o:idmap v:ext="edit" data="3,4"/>
    </o:shapelayout>
  </w:hdrShapeDefaults>
  <w:compat>
    <w:doNotExpandShiftReturn/>
    <w:adjustLineHeightInTable/>
    <w:useFELayout/>
    <w:compatSetting w:name="compatibilityMode" w:uri="http://schemas.microsoft.com/office/word" w:val="11"/>
  </w:compat>
  <w:rsids>
    <w:rsidRoot w:val="00000000"/>
    <w:rsid w:val="0DD7182C"/>
    <w:rsid w:val="3A68415B"/>
    <w:rsid w:val="54AA193F"/>
    <w:rsid w:val="661F7FCA"/>
    <w:rsid w:val="7AC52BA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Liberation Serif" w:hAnsi="Liberation Serif" w:eastAsia="Songti SC" w:cs="Arial Unicode MS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uppressAutoHyphens/>
      <w:bidi w:val="0"/>
      <w:jc w:val="both"/>
    </w:pPr>
    <w:rPr>
      <w:rFonts w:ascii="Calibri;Helvetica Neue" w:hAnsi="Calibri;Helvetica Neue" w:eastAsia="SimSun;汉仪书宋二KW" w:cs="Times New Roman"/>
      <w:color w:val="auto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numPr>
        <w:ilvl w:val="3"/>
        <w:numId w:val="1"/>
      </w:numPr>
      <w:spacing w:before="100" w:after="100"/>
      <w:jc w:val="left"/>
      <w:outlineLvl w:val="3"/>
    </w:pPr>
    <w:rPr>
      <w:rFonts w:hint="eastAsia" w:ascii="SimSun;汉仪书宋二KW" w:hAnsi="SimSun;汉仪书宋二KW" w:eastAsia="SimSun;汉仪书宋二KW" w:cs="SimSun;汉仪书宋二KW"/>
      <w:b/>
      <w:bCs/>
      <w:kern w:val="0"/>
      <w:sz w:val="24"/>
      <w:szCs w:val="24"/>
      <w:lang w:bidi="ar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caption"/>
    <w:basedOn w:val="1"/>
    <w:next w:val="1"/>
    <w:qFormat/>
    <w:uiPriority w:val="0"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4">
    <w:name w:val="Body Text"/>
    <w:basedOn w:val="1"/>
    <w:qFormat/>
    <w:uiPriority w:val="0"/>
    <w:pPr>
      <w:spacing w:before="0" w:after="140" w:line="276" w:lineRule="auto"/>
    </w:p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tabs>
        <w:tab w:val="center" w:pos="4153"/>
        <w:tab w:val="right" w:pos="8306"/>
      </w:tabs>
      <w:snapToGrid w:val="0"/>
      <w:spacing w:line="240" w:lineRule="auto"/>
      <w:jc w:val="both"/>
    </w:pPr>
    <w:rPr>
      <w:sz w:val="18"/>
    </w:rPr>
  </w:style>
  <w:style w:type="paragraph" w:styleId="7">
    <w:name w:val="List"/>
    <w:basedOn w:val="4"/>
    <w:qFormat/>
    <w:uiPriority w:val="0"/>
    <w:rPr>
      <w:rFonts w:cs="Arial Unicode MS"/>
    </w:rPr>
  </w:style>
  <w:style w:type="character" w:styleId="10">
    <w:name w:val="Strong"/>
    <w:basedOn w:val="11"/>
    <w:qFormat/>
    <w:uiPriority w:val="0"/>
    <w:rPr>
      <w:b/>
    </w:rPr>
  </w:style>
  <w:style w:type="character" w:customStyle="1" w:styleId="11">
    <w:name w:val="默认段落字体1"/>
    <w:qFormat/>
    <w:uiPriority w:val="0"/>
  </w:style>
  <w:style w:type="character" w:customStyle="1" w:styleId="12">
    <w:name w:val="WW8Num1z0"/>
    <w:qFormat/>
    <w:uiPriority w:val="0"/>
    <w:rPr>
      <w:rFonts w:hint="eastAsia"/>
    </w:rPr>
  </w:style>
  <w:style w:type="paragraph" w:customStyle="1" w:styleId="13">
    <w:name w:val="Heading"/>
    <w:basedOn w:val="1"/>
    <w:next w:val="4"/>
    <w:qFormat/>
    <w:uiPriority w:val="0"/>
    <w:pPr>
      <w:keepNext/>
      <w:spacing w:before="240" w:after="120"/>
    </w:pPr>
    <w:rPr>
      <w:rFonts w:ascii="Liberation Sans" w:hAnsi="Liberation Sans" w:eastAsia="PingFang SC" w:cs="Arial Unicode MS"/>
      <w:sz w:val="28"/>
      <w:szCs w:val="28"/>
    </w:rPr>
  </w:style>
  <w:style w:type="paragraph" w:customStyle="1" w:styleId="14">
    <w:name w:val="Index"/>
    <w:basedOn w:val="1"/>
    <w:qFormat/>
    <w:uiPriority w:val="0"/>
    <w:pPr>
      <w:suppressLineNumbers/>
    </w:pPr>
    <w:rPr>
      <w:rFonts w:cs="Arial Unicode MS"/>
    </w:rPr>
  </w:style>
  <w:style w:type="paragraph" w:customStyle="1" w:styleId="15">
    <w:name w:val="Header and Footer"/>
    <w:basedOn w:val="1"/>
    <w:qFormat/>
    <w:uiPriority w:val="0"/>
    <w:pPr>
      <w:suppressLineNumbers/>
      <w:tabs>
        <w:tab w:val="center" w:pos="4819"/>
        <w:tab w:val="right" w:pos="9638"/>
      </w:tabs>
    </w:pPr>
  </w:style>
  <w:style w:type="paragraph" w:customStyle="1" w:styleId="16">
    <w:name w:val="Table Contents"/>
    <w:basedOn w:val="1"/>
    <w:qFormat/>
    <w:uiPriority w:val="0"/>
    <w:pPr>
      <w:widowControl w:val="0"/>
      <w:suppressLineNumbers/>
    </w:pPr>
  </w:style>
  <w:style w:type="paragraph" w:customStyle="1" w:styleId="17">
    <w:name w:val="Table Heading"/>
    <w:basedOn w:val="16"/>
    <w:qFormat/>
    <w:uiPriority w:val="0"/>
    <w:pPr>
      <w:suppressLineNumbers/>
      <w:jc w:val="center"/>
    </w:pPr>
    <w:rPr>
      <w:b/>
      <w:bCs/>
    </w:rPr>
  </w:style>
  <w:style w:type="paragraph" w:customStyle="1" w:styleId="18">
    <w:name w:val="Frame Contents"/>
    <w:basedOn w:val="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 name=""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ScaleCrop>false</ScaleCrop>
  <LinksUpToDate>false</LinksUpToDate>
  <Application>WPS Office_11.8.2.10912_F1E327BC-269C-435d-A152-05C5408002CA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2026-05-06T18:50:00Z</dcterms:created>
  <dc:creator>cwc</dc:creator>
  <cp:lastModifiedBy>宋文俊</cp:lastModifiedBy>
  <cp:lastPrinted>2026-05-20T01:06:00Z</cp:lastPrinted>
  <dcterms:modified xsi:type="dcterms:W3CDTF">2026-05-28T03:29:38Z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00139BC15AB6932A0B060D6A2DFDFCAC_43</vt:lpwstr>
  </property>
  <property fmtid="{D5CDD505-2E9C-101B-9397-08002B2CF9AE}" pid="3" name="KSOProductBuildVer">
    <vt:lpwstr>2052-11.8.2.10912</vt:lpwstr>
  </property>
  <property fmtid="{D5CDD505-2E9C-101B-9397-08002B2CF9AE}" pid="4" name="KSOTemplateDocerSaveRecord">
    <vt:lpwstr>eyJoZGlkIjoiZTBkZjBjZDBmOGM1NWFkMDhmMmQ3ZTI5NTMwYzRmNTkiLCJ1c2VySWQiOiIzMTI1MDE3OTAifQ==</vt:lpwstr>
  </property>
</Properties>
</file>